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DDB2D" w14:textId="77777777" w:rsidR="00563FE8" w:rsidRDefault="00563FE8" w:rsidP="00563FE8">
      <w:pPr>
        <w:rPr>
          <w:rFonts w:eastAsia="Times New Roman" w:cs="Tahoma"/>
          <w:b/>
          <w:bCs/>
          <w:color w:val="000000" w:themeColor="text1"/>
          <w:sz w:val="32"/>
          <w:szCs w:val="20"/>
          <w:lang w:eastAsia="en-IN"/>
        </w:rPr>
      </w:pPr>
    </w:p>
    <w:p w14:paraId="6C8E4408" w14:textId="77777777" w:rsidR="00411FF5" w:rsidRPr="00EA3343" w:rsidRDefault="00411FF5" w:rsidP="00411FF5">
      <w:pPr>
        <w:rPr>
          <w:rFonts w:cstheme="minorHAnsi"/>
          <w:b/>
        </w:rPr>
      </w:pPr>
      <w:r w:rsidRPr="00EA3343">
        <w:rPr>
          <w:rFonts w:cstheme="minorHAnsi"/>
          <w:b/>
        </w:rPr>
        <w:t xml:space="preserve">Disclosure </w:t>
      </w:r>
      <w:r w:rsidR="00B55D28">
        <w:rPr>
          <w:rFonts w:cstheme="minorHAnsi"/>
          <w:b/>
        </w:rPr>
        <w:t>on Liquidity risk, as per RBI</w:t>
      </w:r>
      <w:r w:rsidRPr="00EA3343">
        <w:rPr>
          <w:rFonts w:cstheme="minorHAnsi"/>
          <w:b/>
        </w:rPr>
        <w:t xml:space="preserve"> Circular:- DOR.NBFC (PD) CC.No.102/03.10.001/2019-20 dated 4</w:t>
      </w:r>
      <w:r w:rsidRPr="00EA3343">
        <w:rPr>
          <w:rFonts w:cstheme="minorHAnsi"/>
          <w:b/>
          <w:vertAlign w:val="superscript"/>
        </w:rPr>
        <w:t>th</w:t>
      </w:r>
      <w:r w:rsidRPr="00EA3343">
        <w:rPr>
          <w:rFonts w:cstheme="minorHAnsi"/>
          <w:b/>
        </w:rPr>
        <w:t xml:space="preserve"> November 2019.</w:t>
      </w:r>
    </w:p>
    <w:p w14:paraId="28D4DC52" w14:textId="77777777" w:rsidR="00411FF5" w:rsidRPr="00EA3343" w:rsidRDefault="00411FF5" w:rsidP="00411FF5">
      <w:pPr>
        <w:tabs>
          <w:tab w:val="left" w:pos="7140"/>
          <w:tab w:val="left" w:pos="7665"/>
        </w:tabs>
        <w:rPr>
          <w:rFonts w:cstheme="minorHAnsi"/>
          <w:b/>
        </w:rPr>
      </w:pPr>
      <w:r w:rsidRPr="00EA3343">
        <w:rPr>
          <w:rFonts w:cstheme="minorHAnsi"/>
          <w:b/>
        </w:rPr>
        <w:tab/>
        <w:t>(Amount Rs in Crs)</w:t>
      </w:r>
      <w:r w:rsidRPr="00EA3343">
        <w:rPr>
          <w:rFonts w:cstheme="minorHAnsi"/>
          <w:b/>
        </w:rPr>
        <w:tab/>
      </w:r>
    </w:p>
    <w:p w14:paraId="0915018C" w14:textId="77777777" w:rsidR="00411FF5" w:rsidRPr="00EA3343" w:rsidRDefault="00411FF5" w:rsidP="00411FF5">
      <w:pPr>
        <w:spacing w:after="0" w:line="240" w:lineRule="auto"/>
        <w:rPr>
          <w:rFonts w:eastAsia="Times New Roman" w:cstheme="minorHAnsi"/>
          <w:b/>
          <w:bCs/>
          <w:i/>
          <w:iCs/>
          <w:u w:val="single"/>
        </w:rPr>
      </w:pPr>
      <w:r w:rsidRPr="00EA3343">
        <w:rPr>
          <w:rFonts w:eastAsia="Times New Roman" w:cstheme="minorHAnsi"/>
          <w:b/>
          <w:bCs/>
          <w:i/>
          <w:iCs/>
          <w:u w:val="single"/>
        </w:rPr>
        <w:t>(i) Funding Concentration based on significant counterparty (both deposits and borrowings)</w:t>
      </w:r>
    </w:p>
    <w:p w14:paraId="17F367D6" w14:textId="77777777" w:rsidR="00EE1A84" w:rsidRDefault="00EE1A84" w:rsidP="003135BB">
      <w:pPr>
        <w:tabs>
          <w:tab w:val="left" w:pos="8130"/>
        </w:tabs>
        <w:spacing w:after="0"/>
        <w:rPr>
          <w:rFonts w:cstheme="minorHAnsi"/>
          <w:b/>
        </w:rPr>
      </w:pPr>
    </w:p>
    <w:tbl>
      <w:tblPr>
        <w:tblW w:w="0" w:type="auto"/>
        <w:tblLook w:val="04A0" w:firstRow="1" w:lastRow="0" w:firstColumn="1" w:lastColumn="0" w:noHBand="0" w:noVBand="1"/>
      </w:tblPr>
      <w:tblGrid>
        <w:gridCol w:w="4776"/>
        <w:gridCol w:w="2311"/>
      </w:tblGrid>
      <w:tr w:rsidR="008F33E1" w:rsidRPr="008F33E1" w14:paraId="1C2398DA" w14:textId="77777777" w:rsidTr="000D575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9A24A" w14:textId="77777777" w:rsidR="008F33E1" w:rsidRPr="008F33E1" w:rsidRDefault="008F33E1" w:rsidP="003135BB">
            <w:pPr>
              <w:spacing w:after="0" w:line="240" w:lineRule="auto"/>
              <w:rPr>
                <w:rFonts w:ascii="Calibri" w:eastAsia="Times New Roman" w:hAnsi="Calibri" w:cs="Calibri"/>
                <w:b/>
                <w:bCs/>
                <w:sz w:val="20"/>
                <w:szCs w:val="20"/>
              </w:rPr>
            </w:pPr>
            <w:r w:rsidRPr="008F33E1">
              <w:rPr>
                <w:rFonts w:ascii="Calibri" w:eastAsia="Times New Roman" w:hAnsi="Calibri" w:cs="Calibri"/>
                <w:b/>
                <w:bCs/>
                <w:sz w:val="20"/>
                <w:szCs w:val="20"/>
              </w:rPr>
              <w:t xml:space="preserve">Particulars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A33B13F" w14:textId="05992117" w:rsidR="008F33E1" w:rsidRPr="008F33E1" w:rsidRDefault="008F33E1" w:rsidP="003135BB">
            <w:pPr>
              <w:spacing w:after="0" w:line="240" w:lineRule="auto"/>
              <w:rPr>
                <w:rFonts w:ascii="Calibri" w:eastAsia="Times New Roman" w:hAnsi="Calibri" w:cs="Calibri"/>
                <w:b/>
                <w:bCs/>
                <w:sz w:val="20"/>
                <w:szCs w:val="20"/>
              </w:rPr>
            </w:pPr>
            <w:r w:rsidRPr="008F33E1">
              <w:rPr>
                <w:rFonts w:ascii="Calibri" w:eastAsia="Times New Roman" w:hAnsi="Calibri" w:cs="Calibri"/>
                <w:b/>
                <w:bCs/>
                <w:sz w:val="20"/>
                <w:szCs w:val="20"/>
              </w:rPr>
              <w:t>As at 3</w:t>
            </w:r>
            <w:r w:rsidR="001D4441">
              <w:rPr>
                <w:rFonts w:ascii="Calibri" w:eastAsia="Times New Roman" w:hAnsi="Calibri" w:cs="Calibri"/>
                <w:b/>
                <w:bCs/>
                <w:sz w:val="20"/>
                <w:szCs w:val="20"/>
              </w:rPr>
              <w:t>0</w:t>
            </w:r>
            <w:r w:rsidR="001D4441" w:rsidRPr="001D4441">
              <w:rPr>
                <w:rFonts w:ascii="Calibri" w:eastAsia="Times New Roman" w:hAnsi="Calibri" w:cs="Calibri"/>
                <w:b/>
                <w:bCs/>
                <w:sz w:val="20"/>
                <w:szCs w:val="20"/>
                <w:vertAlign w:val="superscript"/>
              </w:rPr>
              <w:t>th</w:t>
            </w:r>
            <w:r w:rsidR="007350F5">
              <w:rPr>
                <w:rFonts w:ascii="Calibri" w:eastAsia="Times New Roman" w:hAnsi="Calibri" w:cs="Calibri"/>
                <w:b/>
                <w:bCs/>
                <w:sz w:val="20"/>
                <w:szCs w:val="20"/>
              </w:rPr>
              <w:t xml:space="preserve"> </w:t>
            </w:r>
            <w:r w:rsidR="001D4441">
              <w:rPr>
                <w:rFonts w:ascii="Calibri" w:eastAsia="Times New Roman" w:hAnsi="Calibri" w:cs="Calibri"/>
                <w:b/>
                <w:bCs/>
                <w:sz w:val="20"/>
                <w:szCs w:val="20"/>
              </w:rPr>
              <w:t>June</w:t>
            </w:r>
            <w:r w:rsidRPr="008F33E1">
              <w:rPr>
                <w:rFonts w:ascii="Calibri" w:eastAsia="Times New Roman" w:hAnsi="Calibri" w:cs="Calibri"/>
                <w:b/>
                <w:bCs/>
                <w:sz w:val="20"/>
                <w:szCs w:val="20"/>
              </w:rPr>
              <w:t xml:space="preserve"> 202</w:t>
            </w:r>
            <w:r w:rsidR="001C148B">
              <w:rPr>
                <w:rFonts w:ascii="Calibri" w:eastAsia="Times New Roman" w:hAnsi="Calibri" w:cs="Calibri"/>
                <w:b/>
                <w:bCs/>
                <w:sz w:val="20"/>
                <w:szCs w:val="20"/>
              </w:rPr>
              <w:t>3</w:t>
            </w:r>
          </w:p>
        </w:tc>
      </w:tr>
      <w:tr w:rsidR="008F33E1" w:rsidRPr="008F33E1" w14:paraId="292F3547" w14:textId="77777777" w:rsidTr="000D575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ABAA4E" w14:textId="77777777" w:rsidR="008F33E1" w:rsidRPr="001D1F07" w:rsidRDefault="008F33E1" w:rsidP="003135BB">
            <w:pPr>
              <w:spacing w:after="0" w:line="240" w:lineRule="auto"/>
              <w:rPr>
                <w:rFonts w:ascii="Trebuchet MS" w:eastAsia="Times New Roman" w:hAnsi="Trebuchet MS" w:cs="Calibri"/>
                <w:sz w:val="18"/>
                <w:szCs w:val="18"/>
              </w:rPr>
            </w:pPr>
            <w:r w:rsidRPr="001D1F07">
              <w:rPr>
                <w:rFonts w:ascii="Trebuchet MS" w:eastAsia="Times New Roman" w:hAnsi="Trebuchet MS" w:cs="Calibri"/>
                <w:sz w:val="18"/>
                <w:szCs w:val="18"/>
              </w:rPr>
              <w:t>Number of significant counter parties*</w:t>
            </w:r>
          </w:p>
        </w:tc>
        <w:tc>
          <w:tcPr>
            <w:tcW w:w="0" w:type="auto"/>
            <w:tcBorders>
              <w:top w:val="nil"/>
              <w:left w:val="nil"/>
              <w:bottom w:val="single" w:sz="4" w:space="0" w:color="auto"/>
              <w:right w:val="single" w:sz="4" w:space="0" w:color="auto"/>
            </w:tcBorders>
            <w:shd w:val="clear" w:color="auto" w:fill="auto"/>
            <w:noWrap/>
            <w:vAlign w:val="bottom"/>
            <w:hideMark/>
          </w:tcPr>
          <w:p w14:paraId="00B13447" w14:textId="4B121F83" w:rsidR="008F33E1" w:rsidRPr="001D1F07" w:rsidRDefault="001D4441" w:rsidP="003135BB">
            <w:pPr>
              <w:spacing w:after="0" w:line="240" w:lineRule="auto"/>
              <w:jc w:val="right"/>
              <w:rPr>
                <w:rFonts w:ascii="Trebuchet MS" w:eastAsia="Times New Roman" w:hAnsi="Trebuchet MS" w:cs="Calibri"/>
                <w:sz w:val="18"/>
                <w:szCs w:val="18"/>
              </w:rPr>
            </w:pPr>
            <w:r>
              <w:rPr>
                <w:rFonts w:ascii="Trebuchet MS" w:eastAsia="Times New Roman" w:hAnsi="Trebuchet MS" w:cs="Calibri"/>
                <w:sz w:val="18"/>
                <w:szCs w:val="18"/>
              </w:rPr>
              <w:t>19</w:t>
            </w:r>
          </w:p>
        </w:tc>
      </w:tr>
      <w:tr w:rsidR="008F33E1" w:rsidRPr="008F33E1" w14:paraId="1A2677E1" w14:textId="77777777" w:rsidTr="000D575E">
        <w:trPr>
          <w:trHeight w:val="29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1BA217" w14:textId="77777777" w:rsidR="008F33E1" w:rsidRPr="001D1F07" w:rsidRDefault="008F33E1" w:rsidP="003135BB">
            <w:pPr>
              <w:spacing w:after="0" w:line="240" w:lineRule="auto"/>
              <w:rPr>
                <w:rFonts w:ascii="Trebuchet MS" w:eastAsia="Times New Roman" w:hAnsi="Trebuchet MS" w:cs="Calibri"/>
                <w:sz w:val="18"/>
                <w:szCs w:val="18"/>
              </w:rPr>
            </w:pPr>
            <w:r w:rsidRPr="001D1F07">
              <w:rPr>
                <w:rFonts w:ascii="Trebuchet MS" w:eastAsia="Times New Roman" w:hAnsi="Trebuchet MS" w:cs="Calibri"/>
                <w:sz w:val="18"/>
                <w:szCs w:val="18"/>
              </w:rPr>
              <w:t>Amount (Rs. In Crore)</w:t>
            </w:r>
          </w:p>
        </w:tc>
        <w:tc>
          <w:tcPr>
            <w:tcW w:w="0" w:type="auto"/>
            <w:tcBorders>
              <w:top w:val="nil"/>
              <w:left w:val="nil"/>
              <w:bottom w:val="single" w:sz="4" w:space="0" w:color="auto"/>
              <w:right w:val="single" w:sz="4" w:space="0" w:color="auto"/>
            </w:tcBorders>
            <w:shd w:val="clear" w:color="auto" w:fill="auto"/>
            <w:noWrap/>
            <w:vAlign w:val="bottom"/>
            <w:hideMark/>
          </w:tcPr>
          <w:p w14:paraId="2625FB4D" w14:textId="69FC7EB6" w:rsidR="008F33E1" w:rsidRPr="001D1F07" w:rsidRDefault="008F33E1" w:rsidP="003135BB">
            <w:pPr>
              <w:spacing w:after="0" w:line="240" w:lineRule="auto"/>
              <w:jc w:val="right"/>
              <w:rPr>
                <w:rFonts w:ascii="Trebuchet MS" w:eastAsia="Times New Roman" w:hAnsi="Trebuchet MS" w:cs="Calibri"/>
                <w:sz w:val="18"/>
                <w:szCs w:val="18"/>
              </w:rPr>
            </w:pPr>
            <w:r w:rsidRPr="001D1F07">
              <w:rPr>
                <w:rFonts w:ascii="Trebuchet MS" w:eastAsia="Times New Roman" w:hAnsi="Trebuchet MS" w:cs="Calibri"/>
                <w:sz w:val="18"/>
                <w:szCs w:val="18"/>
              </w:rPr>
              <w:t xml:space="preserve">                        </w:t>
            </w:r>
            <w:r w:rsidR="000D575E" w:rsidRPr="001D1F07">
              <w:rPr>
                <w:rFonts w:ascii="Trebuchet MS" w:eastAsia="Times New Roman" w:hAnsi="Trebuchet MS" w:cs="Calibri"/>
                <w:sz w:val="18"/>
                <w:szCs w:val="18"/>
              </w:rPr>
              <w:t>1</w:t>
            </w:r>
            <w:r w:rsidR="00DB5584">
              <w:rPr>
                <w:rFonts w:ascii="Trebuchet MS" w:eastAsia="Times New Roman" w:hAnsi="Trebuchet MS" w:cs="Calibri"/>
                <w:sz w:val="18"/>
                <w:szCs w:val="18"/>
              </w:rPr>
              <w:t>7,</w:t>
            </w:r>
            <w:r w:rsidR="001D4441">
              <w:rPr>
                <w:rFonts w:ascii="Trebuchet MS" w:eastAsia="Times New Roman" w:hAnsi="Trebuchet MS" w:cs="Calibri"/>
                <w:sz w:val="18"/>
                <w:szCs w:val="18"/>
              </w:rPr>
              <w:t>786</w:t>
            </w:r>
            <w:r w:rsidR="00DB5584">
              <w:rPr>
                <w:rFonts w:ascii="Trebuchet MS" w:eastAsia="Times New Roman" w:hAnsi="Trebuchet MS" w:cs="Calibri"/>
                <w:sz w:val="18"/>
                <w:szCs w:val="18"/>
              </w:rPr>
              <w:t>.</w:t>
            </w:r>
            <w:r w:rsidR="001D4441">
              <w:rPr>
                <w:rFonts w:ascii="Trebuchet MS" w:eastAsia="Times New Roman" w:hAnsi="Trebuchet MS" w:cs="Calibri"/>
                <w:sz w:val="18"/>
                <w:szCs w:val="18"/>
              </w:rPr>
              <w:t>24</w:t>
            </w:r>
            <w:r w:rsidRPr="001D1F07">
              <w:rPr>
                <w:rFonts w:ascii="Trebuchet MS" w:eastAsia="Times New Roman" w:hAnsi="Trebuchet MS" w:cs="Calibri"/>
                <w:sz w:val="18"/>
                <w:szCs w:val="18"/>
              </w:rPr>
              <w:t xml:space="preserve"> </w:t>
            </w:r>
          </w:p>
        </w:tc>
      </w:tr>
      <w:tr w:rsidR="008F33E1" w:rsidRPr="008F33E1" w14:paraId="5B65F8BB" w14:textId="77777777" w:rsidTr="000D575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D1A5BA" w14:textId="77777777" w:rsidR="008F33E1" w:rsidRPr="001D1F07" w:rsidRDefault="008F33E1" w:rsidP="003135BB">
            <w:pPr>
              <w:spacing w:after="0" w:line="240" w:lineRule="auto"/>
              <w:rPr>
                <w:rFonts w:ascii="Trebuchet MS" w:eastAsia="Times New Roman" w:hAnsi="Trebuchet MS" w:cs="Calibri"/>
                <w:sz w:val="18"/>
                <w:szCs w:val="18"/>
              </w:rPr>
            </w:pPr>
            <w:r w:rsidRPr="001D1F07">
              <w:rPr>
                <w:rFonts w:ascii="Trebuchet MS" w:eastAsia="Times New Roman" w:hAnsi="Trebuchet MS" w:cs="Calibri"/>
                <w:sz w:val="18"/>
                <w:szCs w:val="18"/>
              </w:rPr>
              <w:t>Percentage of funding concentration to total deposits</w:t>
            </w:r>
          </w:p>
        </w:tc>
        <w:tc>
          <w:tcPr>
            <w:tcW w:w="0" w:type="auto"/>
            <w:tcBorders>
              <w:top w:val="nil"/>
              <w:left w:val="nil"/>
              <w:bottom w:val="single" w:sz="4" w:space="0" w:color="auto"/>
              <w:right w:val="single" w:sz="4" w:space="0" w:color="auto"/>
            </w:tcBorders>
            <w:shd w:val="clear" w:color="auto" w:fill="auto"/>
            <w:noWrap/>
            <w:vAlign w:val="bottom"/>
            <w:hideMark/>
          </w:tcPr>
          <w:p w14:paraId="15CFAE7F" w14:textId="77777777" w:rsidR="008F33E1" w:rsidRPr="001D1F07" w:rsidRDefault="008F33E1" w:rsidP="003135BB">
            <w:pPr>
              <w:spacing w:after="0" w:line="240" w:lineRule="auto"/>
              <w:jc w:val="right"/>
              <w:rPr>
                <w:rFonts w:ascii="Trebuchet MS" w:eastAsia="Times New Roman" w:hAnsi="Trebuchet MS" w:cs="Calibri"/>
                <w:sz w:val="18"/>
                <w:szCs w:val="18"/>
              </w:rPr>
            </w:pPr>
            <w:r w:rsidRPr="001D1F07">
              <w:rPr>
                <w:rFonts w:ascii="Trebuchet MS" w:eastAsia="Times New Roman" w:hAnsi="Trebuchet MS" w:cs="Calibri"/>
                <w:sz w:val="18"/>
                <w:szCs w:val="18"/>
              </w:rPr>
              <w:t>NA</w:t>
            </w:r>
          </w:p>
        </w:tc>
      </w:tr>
      <w:tr w:rsidR="008F33E1" w:rsidRPr="008F33E1" w14:paraId="7DA65EED" w14:textId="77777777" w:rsidTr="000D575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03F96B" w14:textId="06A71F6E" w:rsidR="008F33E1" w:rsidRPr="001D1F07" w:rsidRDefault="008F33E1" w:rsidP="003135BB">
            <w:pPr>
              <w:spacing w:after="0" w:line="240" w:lineRule="auto"/>
              <w:rPr>
                <w:rFonts w:ascii="Trebuchet MS" w:eastAsia="Times New Roman" w:hAnsi="Trebuchet MS" w:cs="Calibri"/>
                <w:sz w:val="18"/>
                <w:szCs w:val="18"/>
              </w:rPr>
            </w:pPr>
            <w:r w:rsidRPr="001D1F07">
              <w:rPr>
                <w:rFonts w:ascii="Trebuchet MS" w:eastAsia="Times New Roman" w:hAnsi="Trebuchet MS" w:cs="Calibri"/>
                <w:sz w:val="18"/>
                <w:szCs w:val="18"/>
              </w:rPr>
              <w:t>Percentage of funding concentration to total liabilities</w:t>
            </w:r>
            <w:r w:rsidR="00B436DD" w:rsidRPr="001D1F07">
              <w:rPr>
                <w:rFonts w:ascii="Trebuchet MS" w:eastAsia="Times New Roman" w:hAnsi="Trebuchet MS" w:cs="Calibri"/>
                <w:sz w:val="18"/>
                <w:szCs w:val="18"/>
              </w:rPr>
              <w:t>**</w:t>
            </w:r>
          </w:p>
        </w:tc>
        <w:tc>
          <w:tcPr>
            <w:tcW w:w="0" w:type="auto"/>
            <w:tcBorders>
              <w:top w:val="nil"/>
              <w:left w:val="nil"/>
              <w:bottom w:val="single" w:sz="4" w:space="0" w:color="auto"/>
              <w:right w:val="single" w:sz="4" w:space="0" w:color="auto"/>
            </w:tcBorders>
            <w:shd w:val="clear" w:color="auto" w:fill="auto"/>
            <w:noWrap/>
            <w:vAlign w:val="bottom"/>
            <w:hideMark/>
          </w:tcPr>
          <w:p w14:paraId="1D8475C2" w14:textId="099641E8" w:rsidR="008F33E1" w:rsidRPr="001D1F07" w:rsidRDefault="00402056" w:rsidP="003135BB">
            <w:pPr>
              <w:spacing w:after="0" w:line="240" w:lineRule="auto"/>
              <w:jc w:val="right"/>
              <w:rPr>
                <w:rFonts w:ascii="Trebuchet MS" w:eastAsia="Times New Roman" w:hAnsi="Trebuchet MS" w:cs="Calibri"/>
                <w:sz w:val="18"/>
                <w:szCs w:val="18"/>
              </w:rPr>
            </w:pPr>
            <w:r w:rsidRPr="001D1F07">
              <w:rPr>
                <w:rFonts w:ascii="Trebuchet MS" w:eastAsia="Times New Roman" w:hAnsi="Trebuchet MS" w:cs="Calibri"/>
                <w:sz w:val="18"/>
                <w:szCs w:val="18"/>
              </w:rPr>
              <w:t>8</w:t>
            </w:r>
            <w:r w:rsidR="001D4441">
              <w:rPr>
                <w:rFonts w:ascii="Trebuchet MS" w:eastAsia="Times New Roman" w:hAnsi="Trebuchet MS" w:cs="Calibri"/>
                <w:sz w:val="18"/>
                <w:szCs w:val="18"/>
              </w:rPr>
              <w:t>0</w:t>
            </w:r>
            <w:r w:rsidR="00DB5584">
              <w:rPr>
                <w:rFonts w:ascii="Trebuchet MS" w:eastAsia="Times New Roman" w:hAnsi="Trebuchet MS" w:cs="Calibri"/>
                <w:sz w:val="18"/>
                <w:szCs w:val="18"/>
              </w:rPr>
              <w:t>.</w:t>
            </w:r>
            <w:r w:rsidR="001C148B">
              <w:rPr>
                <w:rFonts w:ascii="Trebuchet MS" w:eastAsia="Times New Roman" w:hAnsi="Trebuchet MS" w:cs="Calibri"/>
                <w:sz w:val="18"/>
                <w:szCs w:val="18"/>
              </w:rPr>
              <w:t>5</w:t>
            </w:r>
            <w:r w:rsidR="001D4441">
              <w:rPr>
                <w:rFonts w:ascii="Trebuchet MS" w:eastAsia="Times New Roman" w:hAnsi="Trebuchet MS" w:cs="Calibri"/>
                <w:sz w:val="18"/>
                <w:szCs w:val="18"/>
              </w:rPr>
              <w:t>7</w:t>
            </w:r>
            <w:r w:rsidR="008F33E1" w:rsidRPr="001D1F07">
              <w:rPr>
                <w:rFonts w:ascii="Trebuchet MS" w:eastAsia="Times New Roman" w:hAnsi="Trebuchet MS" w:cs="Calibri"/>
                <w:sz w:val="18"/>
                <w:szCs w:val="18"/>
              </w:rPr>
              <w:t>%</w:t>
            </w:r>
          </w:p>
        </w:tc>
      </w:tr>
    </w:tbl>
    <w:p w14:paraId="025B22C7" w14:textId="77777777" w:rsidR="006A5D60" w:rsidRDefault="00411FF5" w:rsidP="003135BB">
      <w:pPr>
        <w:tabs>
          <w:tab w:val="left" w:pos="8130"/>
        </w:tabs>
        <w:spacing w:after="0"/>
        <w:rPr>
          <w:rFonts w:cstheme="minorHAnsi"/>
          <w:b/>
        </w:rPr>
      </w:pPr>
      <w:r w:rsidRPr="00EA3343">
        <w:rPr>
          <w:rFonts w:cstheme="minorHAnsi"/>
          <w:b/>
        </w:rPr>
        <w:tab/>
      </w:r>
    </w:p>
    <w:p w14:paraId="0D20CED4" w14:textId="5CBE0F3B" w:rsidR="00EE1A84" w:rsidRPr="00EE1A84" w:rsidRDefault="00EE1A84" w:rsidP="0068484C">
      <w:pPr>
        <w:tabs>
          <w:tab w:val="left" w:pos="8130"/>
        </w:tabs>
        <w:jc w:val="both"/>
        <w:rPr>
          <w:rFonts w:eastAsia="Times New Roman" w:cstheme="minorHAnsi"/>
          <w:sz w:val="18"/>
          <w:szCs w:val="18"/>
        </w:rPr>
      </w:pPr>
      <w:r w:rsidRPr="00EE1A84">
        <w:rPr>
          <w:rFonts w:eastAsia="Times New Roman" w:cstheme="minorHAnsi"/>
          <w:sz w:val="18"/>
          <w:szCs w:val="18"/>
        </w:rPr>
        <w:t>* Significant counterparty is as defined in RBI Circular RBI/2019-20/88 DOR.NBFC (PD) CC.No.102/03.10.001/2019-20 dated 4 November 2019 on Liquidity Risk Management Framework for Non-Banking Financial Companies and Core Investment Companies.</w:t>
      </w:r>
    </w:p>
    <w:p w14:paraId="5438102E" w14:textId="2DBCDF07" w:rsidR="00813229" w:rsidRPr="009D53DA" w:rsidRDefault="00813229" w:rsidP="00813229">
      <w:pPr>
        <w:jc w:val="both"/>
        <w:rPr>
          <w:rFonts w:ascii="Calibri" w:hAnsi="Calibri" w:cs="Calibri"/>
          <w:sz w:val="18"/>
          <w:szCs w:val="18"/>
        </w:rPr>
      </w:pPr>
      <w:r w:rsidRPr="009D53DA">
        <w:rPr>
          <w:rFonts w:cstheme="minorHAnsi"/>
          <w:b/>
          <w:sz w:val="18"/>
          <w:szCs w:val="18"/>
        </w:rPr>
        <w:t>*</w:t>
      </w:r>
      <w:r w:rsidRPr="009D53DA">
        <w:rPr>
          <w:rFonts w:ascii="Calibri" w:hAnsi="Calibri" w:cs="Calibri"/>
          <w:sz w:val="18"/>
          <w:szCs w:val="18"/>
        </w:rPr>
        <w:t>* Total Liabilities has been computed as Total Assets less Equity share capital less Reserve &amp; Surplus and computed basis extant regulatory ALM guidelines</w:t>
      </w:r>
    </w:p>
    <w:p w14:paraId="43926BD4" w14:textId="180C4561" w:rsidR="00411FF5" w:rsidRPr="00813229" w:rsidRDefault="00411FF5" w:rsidP="00813229">
      <w:pPr>
        <w:pStyle w:val="ListParagraph"/>
        <w:ind w:left="0"/>
        <w:rPr>
          <w:rFonts w:ascii="Calibri" w:hAnsi="Calibri" w:cs="Calibri"/>
          <w:color w:val="000000"/>
          <w:u w:val="single"/>
        </w:rPr>
      </w:pPr>
      <w:r w:rsidRPr="00813229">
        <w:rPr>
          <w:rFonts w:eastAsia="Times New Roman" w:cstheme="minorHAnsi"/>
          <w:b/>
          <w:bCs/>
          <w:i/>
          <w:iCs/>
          <w:u w:val="single"/>
        </w:rPr>
        <w:t xml:space="preserve">(ii) </w:t>
      </w:r>
      <w:r w:rsidR="00813229" w:rsidRPr="00813229">
        <w:rPr>
          <w:rFonts w:ascii="Calibri" w:hAnsi="Calibri" w:cs="Calibri"/>
          <w:b/>
          <w:bCs/>
          <w:color w:val="000000"/>
          <w:u w:val="single"/>
        </w:rPr>
        <w:t>Top 20 large deposits (amount in ₹ crore and % of total deposits)</w:t>
      </w:r>
      <w:r w:rsidR="00813229" w:rsidRPr="00813229">
        <w:rPr>
          <w:rFonts w:ascii="Calibri" w:hAnsi="Calibri" w:cs="Calibri"/>
          <w:color w:val="000000"/>
          <w:u w:val="single"/>
        </w:rPr>
        <w:t xml:space="preserve"> </w:t>
      </w:r>
      <w:r w:rsidR="00813229" w:rsidRPr="00813229">
        <w:rPr>
          <w:rFonts w:ascii="Calibri" w:hAnsi="Calibri" w:cs="Calibri"/>
          <w:color w:val="000000"/>
        </w:rPr>
        <w:t>- NA</w:t>
      </w:r>
    </w:p>
    <w:p w14:paraId="44A34025" w14:textId="260DB15F" w:rsidR="00813229" w:rsidRPr="00813229" w:rsidRDefault="00813229" w:rsidP="00411FF5">
      <w:pPr>
        <w:rPr>
          <w:rFonts w:eastAsia="Times New Roman" w:cstheme="minorHAnsi"/>
          <w:b/>
          <w:bCs/>
          <w:i/>
          <w:iCs/>
          <w:u w:val="single"/>
        </w:rPr>
      </w:pPr>
      <w:r w:rsidRPr="00EA3343">
        <w:rPr>
          <w:rFonts w:eastAsia="Times New Roman" w:cstheme="minorHAnsi"/>
          <w:b/>
          <w:bCs/>
          <w:i/>
          <w:iCs/>
          <w:u w:val="single"/>
        </w:rPr>
        <w:t>(ii</w:t>
      </w:r>
      <w:r>
        <w:rPr>
          <w:rFonts w:eastAsia="Times New Roman" w:cstheme="minorHAnsi"/>
          <w:b/>
          <w:bCs/>
          <w:i/>
          <w:iCs/>
          <w:u w:val="single"/>
        </w:rPr>
        <w:t>i</w:t>
      </w:r>
      <w:r w:rsidRPr="00EA3343">
        <w:rPr>
          <w:rFonts w:eastAsia="Times New Roman" w:cstheme="minorHAnsi"/>
          <w:b/>
          <w:bCs/>
          <w:i/>
          <w:iCs/>
          <w:u w:val="single"/>
        </w:rPr>
        <w:t>) Top 10 borrowings (amount in ₹ crore and % of total borrowings)</w:t>
      </w:r>
    </w:p>
    <w:tbl>
      <w:tblPr>
        <w:tblW w:w="8095" w:type="dxa"/>
        <w:tblLook w:val="04A0" w:firstRow="1" w:lastRow="0" w:firstColumn="1" w:lastColumn="0" w:noHBand="0" w:noVBand="1"/>
      </w:tblPr>
      <w:tblGrid>
        <w:gridCol w:w="5575"/>
        <w:gridCol w:w="2520"/>
      </w:tblGrid>
      <w:tr w:rsidR="008F33E1" w:rsidRPr="008F33E1" w14:paraId="0F6A77BE" w14:textId="77777777" w:rsidTr="001A6A02">
        <w:trPr>
          <w:trHeight w:val="315"/>
        </w:trPr>
        <w:tc>
          <w:tcPr>
            <w:tcW w:w="5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6CACC" w14:textId="77777777" w:rsidR="008F33E1" w:rsidRPr="008F33E1" w:rsidRDefault="008F33E1" w:rsidP="008F33E1">
            <w:pPr>
              <w:spacing w:after="0" w:line="240" w:lineRule="auto"/>
              <w:rPr>
                <w:rFonts w:ascii="Trebuchet MS" w:eastAsia="Times New Roman" w:hAnsi="Trebuchet MS" w:cs="Calibri"/>
                <w:b/>
                <w:bCs/>
                <w:sz w:val="18"/>
                <w:szCs w:val="18"/>
              </w:rPr>
            </w:pPr>
            <w:r w:rsidRPr="008F33E1">
              <w:rPr>
                <w:rFonts w:ascii="Trebuchet MS" w:eastAsia="Times New Roman" w:hAnsi="Trebuchet MS" w:cs="Calibri"/>
                <w:b/>
                <w:bCs/>
                <w:sz w:val="18"/>
                <w:szCs w:val="18"/>
              </w:rPr>
              <w:t>Particulars</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663EB9CA" w14:textId="12B99D64" w:rsidR="008F33E1" w:rsidRPr="008F33E1" w:rsidRDefault="008F33E1" w:rsidP="008F33E1">
            <w:pPr>
              <w:spacing w:after="0" w:line="240" w:lineRule="auto"/>
              <w:rPr>
                <w:rFonts w:ascii="Trebuchet MS" w:eastAsia="Times New Roman" w:hAnsi="Trebuchet MS" w:cs="Calibri"/>
                <w:b/>
                <w:bCs/>
                <w:sz w:val="18"/>
                <w:szCs w:val="18"/>
              </w:rPr>
            </w:pPr>
            <w:r w:rsidRPr="008F33E1">
              <w:rPr>
                <w:rFonts w:ascii="Trebuchet MS" w:eastAsia="Times New Roman" w:hAnsi="Trebuchet MS" w:cs="Calibri"/>
                <w:b/>
                <w:bCs/>
                <w:sz w:val="18"/>
                <w:szCs w:val="18"/>
              </w:rPr>
              <w:t>As at 3</w:t>
            </w:r>
            <w:r w:rsidR="001D4441">
              <w:rPr>
                <w:rFonts w:ascii="Trebuchet MS" w:eastAsia="Times New Roman" w:hAnsi="Trebuchet MS" w:cs="Calibri"/>
                <w:b/>
                <w:bCs/>
                <w:sz w:val="18"/>
                <w:szCs w:val="18"/>
              </w:rPr>
              <w:t>0</w:t>
            </w:r>
            <w:r w:rsidR="001D4441" w:rsidRPr="001D4441">
              <w:rPr>
                <w:rFonts w:ascii="Trebuchet MS" w:eastAsia="Times New Roman" w:hAnsi="Trebuchet MS" w:cs="Calibri"/>
                <w:b/>
                <w:bCs/>
                <w:sz w:val="18"/>
                <w:szCs w:val="18"/>
                <w:vertAlign w:val="superscript"/>
              </w:rPr>
              <w:t>th</w:t>
            </w:r>
            <w:r w:rsidR="00000831">
              <w:rPr>
                <w:rFonts w:ascii="Trebuchet MS" w:eastAsia="Times New Roman" w:hAnsi="Trebuchet MS" w:cs="Calibri"/>
                <w:b/>
                <w:bCs/>
                <w:sz w:val="18"/>
                <w:szCs w:val="18"/>
                <w:vertAlign w:val="superscript"/>
              </w:rPr>
              <w:t xml:space="preserve"> </w:t>
            </w:r>
            <w:r w:rsidR="001D4441">
              <w:rPr>
                <w:rFonts w:ascii="Trebuchet MS" w:eastAsia="Times New Roman" w:hAnsi="Trebuchet MS" w:cs="Calibri"/>
                <w:b/>
                <w:bCs/>
                <w:sz w:val="18"/>
                <w:szCs w:val="18"/>
              </w:rPr>
              <w:t>June</w:t>
            </w:r>
            <w:r w:rsidRPr="008F33E1">
              <w:rPr>
                <w:rFonts w:ascii="Trebuchet MS" w:eastAsia="Times New Roman" w:hAnsi="Trebuchet MS" w:cs="Calibri"/>
                <w:b/>
                <w:bCs/>
                <w:sz w:val="18"/>
                <w:szCs w:val="18"/>
              </w:rPr>
              <w:t xml:space="preserve"> 202</w:t>
            </w:r>
            <w:r w:rsidR="001C148B">
              <w:rPr>
                <w:rFonts w:ascii="Trebuchet MS" w:eastAsia="Times New Roman" w:hAnsi="Trebuchet MS" w:cs="Calibri"/>
                <w:b/>
                <w:bCs/>
                <w:sz w:val="18"/>
                <w:szCs w:val="18"/>
              </w:rPr>
              <w:t>3</w:t>
            </w:r>
          </w:p>
        </w:tc>
      </w:tr>
      <w:tr w:rsidR="008F33E1" w:rsidRPr="008F33E1" w14:paraId="6754E8D3" w14:textId="77777777" w:rsidTr="001A6A02">
        <w:trPr>
          <w:trHeight w:val="315"/>
        </w:trPr>
        <w:tc>
          <w:tcPr>
            <w:tcW w:w="5575" w:type="dxa"/>
            <w:tcBorders>
              <w:top w:val="nil"/>
              <w:left w:val="single" w:sz="4" w:space="0" w:color="auto"/>
              <w:bottom w:val="single" w:sz="4" w:space="0" w:color="auto"/>
              <w:right w:val="single" w:sz="4" w:space="0" w:color="auto"/>
            </w:tcBorders>
            <w:shd w:val="clear" w:color="auto" w:fill="auto"/>
            <w:noWrap/>
            <w:vAlign w:val="bottom"/>
            <w:hideMark/>
          </w:tcPr>
          <w:p w14:paraId="02806315" w14:textId="77777777" w:rsidR="008F33E1" w:rsidRPr="008F33E1" w:rsidRDefault="008F33E1" w:rsidP="008F33E1">
            <w:pPr>
              <w:spacing w:after="0" w:line="240" w:lineRule="auto"/>
              <w:rPr>
                <w:rFonts w:ascii="Trebuchet MS" w:eastAsia="Times New Roman" w:hAnsi="Trebuchet MS" w:cs="Calibri"/>
                <w:sz w:val="18"/>
                <w:szCs w:val="18"/>
              </w:rPr>
            </w:pPr>
            <w:r w:rsidRPr="008F33E1">
              <w:rPr>
                <w:rFonts w:ascii="Trebuchet MS" w:eastAsia="Times New Roman" w:hAnsi="Trebuchet MS" w:cs="Calibri"/>
                <w:sz w:val="18"/>
                <w:szCs w:val="18"/>
              </w:rPr>
              <w:t>Total amount of top 10 borrowings</w:t>
            </w:r>
          </w:p>
        </w:tc>
        <w:tc>
          <w:tcPr>
            <w:tcW w:w="2520" w:type="dxa"/>
            <w:tcBorders>
              <w:top w:val="nil"/>
              <w:left w:val="nil"/>
              <w:bottom w:val="single" w:sz="4" w:space="0" w:color="auto"/>
              <w:right w:val="single" w:sz="4" w:space="0" w:color="auto"/>
            </w:tcBorders>
            <w:shd w:val="clear" w:color="auto" w:fill="auto"/>
            <w:noWrap/>
            <w:vAlign w:val="bottom"/>
            <w:hideMark/>
          </w:tcPr>
          <w:p w14:paraId="1265D2CE" w14:textId="39CBF926" w:rsidR="008F33E1" w:rsidRPr="008F33E1" w:rsidRDefault="008F33E1" w:rsidP="008F33E1">
            <w:pPr>
              <w:spacing w:after="0" w:line="240" w:lineRule="auto"/>
              <w:jc w:val="right"/>
              <w:rPr>
                <w:rFonts w:ascii="Trebuchet MS" w:eastAsia="Times New Roman" w:hAnsi="Trebuchet MS" w:cs="Calibri"/>
                <w:sz w:val="18"/>
                <w:szCs w:val="18"/>
              </w:rPr>
            </w:pPr>
            <w:r w:rsidRPr="008F33E1">
              <w:rPr>
                <w:rFonts w:ascii="Trebuchet MS" w:eastAsia="Times New Roman" w:hAnsi="Trebuchet MS" w:cs="Calibri"/>
                <w:sz w:val="18"/>
                <w:szCs w:val="18"/>
              </w:rPr>
              <w:t xml:space="preserve">                  </w:t>
            </w:r>
            <w:r w:rsidR="001A6A02">
              <w:rPr>
                <w:rFonts w:ascii="Trebuchet MS" w:eastAsia="Times New Roman" w:hAnsi="Trebuchet MS" w:cs="Calibri"/>
                <w:sz w:val="18"/>
                <w:szCs w:val="18"/>
              </w:rPr>
              <w:t>5</w:t>
            </w:r>
            <w:r w:rsidRPr="008F33E1">
              <w:rPr>
                <w:rFonts w:ascii="Trebuchet MS" w:eastAsia="Times New Roman" w:hAnsi="Trebuchet MS" w:cs="Calibri"/>
                <w:sz w:val="18"/>
                <w:szCs w:val="18"/>
              </w:rPr>
              <w:t>,</w:t>
            </w:r>
            <w:r w:rsidR="001C148B">
              <w:rPr>
                <w:rFonts w:ascii="Trebuchet MS" w:eastAsia="Times New Roman" w:hAnsi="Trebuchet MS" w:cs="Calibri"/>
                <w:sz w:val="18"/>
                <w:szCs w:val="18"/>
              </w:rPr>
              <w:t>4</w:t>
            </w:r>
            <w:r w:rsidR="001D4441">
              <w:rPr>
                <w:rFonts w:ascii="Trebuchet MS" w:eastAsia="Times New Roman" w:hAnsi="Trebuchet MS" w:cs="Calibri"/>
                <w:sz w:val="18"/>
                <w:szCs w:val="18"/>
              </w:rPr>
              <w:t>93</w:t>
            </w:r>
            <w:r w:rsidRPr="008F33E1">
              <w:rPr>
                <w:rFonts w:ascii="Trebuchet MS" w:eastAsia="Times New Roman" w:hAnsi="Trebuchet MS" w:cs="Calibri"/>
                <w:sz w:val="18"/>
                <w:szCs w:val="18"/>
              </w:rPr>
              <w:t>.</w:t>
            </w:r>
            <w:r w:rsidR="001D4441">
              <w:rPr>
                <w:rFonts w:ascii="Trebuchet MS" w:eastAsia="Times New Roman" w:hAnsi="Trebuchet MS" w:cs="Calibri"/>
                <w:sz w:val="18"/>
                <w:szCs w:val="18"/>
              </w:rPr>
              <w:t>23</w:t>
            </w:r>
            <w:r w:rsidRPr="008F33E1">
              <w:rPr>
                <w:rFonts w:ascii="Trebuchet MS" w:eastAsia="Times New Roman" w:hAnsi="Trebuchet MS" w:cs="Calibri"/>
                <w:sz w:val="18"/>
                <w:szCs w:val="18"/>
              </w:rPr>
              <w:t xml:space="preserve"> </w:t>
            </w:r>
          </w:p>
        </w:tc>
      </w:tr>
      <w:tr w:rsidR="008F33E1" w:rsidRPr="008F33E1" w14:paraId="621D5775" w14:textId="77777777" w:rsidTr="001A6A02">
        <w:trPr>
          <w:trHeight w:val="413"/>
        </w:trPr>
        <w:tc>
          <w:tcPr>
            <w:tcW w:w="5575" w:type="dxa"/>
            <w:tcBorders>
              <w:top w:val="nil"/>
              <w:left w:val="single" w:sz="4" w:space="0" w:color="auto"/>
              <w:bottom w:val="single" w:sz="4" w:space="0" w:color="auto"/>
              <w:right w:val="single" w:sz="4" w:space="0" w:color="auto"/>
            </w:tcBorders>
            <w:shd w:val="clear" w:color="auto" w:fill="auto"/>
            <w:vAlign w:val="bottom"/>
            <w:hideMark/>
          </w:tcPr>
          <w:p w14:paraId="3F74DC24" w14:textId="77777777" w:rsidR="008F33E1" w:rsidRPr="008F33E1" w:rsidRDefault="008F33E1" w:rsidP="008F33E1">
            <w:pPr>
              <w:spacing w:after="0" w:line="240" w:lineRule="auto"/>
              <w:rPr>
                <w:rFonts w:ascii="Trebuchet MS" w:eastAsia="Times New Roman" w:hAnsi="Trebuchet MS" w:cs="Calibri"/>
                <w:sz w:val="18"/>
                <w:szCs w:val="18"/>
              </w:rPr>
            </w:pPr>
            <w:r w:rsidRPr="008F33E1">
              <w:rPr>
                <w:rFonts w:ascii="Trebuchet MS" w:eastAsia="Times New Roman" w:hAnsi="Trebuchet MS" w:cs="Calibri"/>
                <w:sz w:val="18"/>
                <w:szCs w:val="18"/>
              </w:rPr>
              <w:t>Percentage of amount of top 10 borrowings to total borrowings</w:t>
            </w:r>
          </w:p>
        </w:tc>
        <w:tc>
          <w:tcPr>
            <w:tcW w:w="2520" w:type="dxa"/>
            <w:tcBorders>
              <w:top w:val="nil"/>
              <w:left w:val="nil"/>
              <w:bottom w:val="single" w:sz="4" w:space="0" w:color="auto"/>
              <w:right w:val="single" w:sz="4" w:space="0" w:color="auto"/>
            </w:tcBorders>
            <w:shd w:val="clear" w:color="auto" w:fill="auto"/>
            <w:noWrap/>
            <w:vAlign w:val="center"/>
            <w:hideMark/>
          </w:tcPr>
          <w:p w14:paraId="012E23BA" w14:textId="7F0E254F" w:rsidR="008F33E1" w:rsidRPr="008F33E1" w:rsidRDefault="00997DE8" w:rsidP="008F33E1">
            <w:pPr>
              <w:spacing w:after="0" w:line="240" w:lineRule="auto"/>
              <w:jc w:val="right"/>
              <w:rPr>
                <w:rFonts w:ascii="Trebuchet MS" w:eastAsia="Times New Roman" w:hAnsi="Trebuchet MS" w:cs="Calibri"/>
                <w:sz w:val="18"/>
                <w:szCs w:val="18"/>
              </w:rPr>
            </w:pPr>
            <w:r>
              <w:rPr>
                <w:rFonts w:ascii="Trebuchet MS" w:eastAsia="Times New Roman" w:hAnsi="Trebuchet MS" w:cs="Calibri"/>
                <w:sz w:val="18"/>
                <w:szCs w:val="18"/>
              </w:rPr>
              <w:t>2</w:t>
            </w:r>
            <w:r w:rsidR="001D4441">
              <w:rPr>
                <w:rFonts w:ascii="Trebuchet MS" w:eastAsia="Times New Roman" w:hAnsi="Trebuchet MS" w:cs="Calibri"/>
                <w:sz w:val="18"/>
                <w:szCs w:val="18"/>
              </w:rPr>
              <w:t>6</w:t>
            </w:r>
            <w:r>
              <w:rPr>
                <w:rFonts w:ascii="Trebuchet MS" w:eastAsia="Times New Roman" w:hAnsi="Trebuchet MS" w:cs="Calibri"/>
                <w:sz w:val="18"/>
                <w:szCs w:val="18"/>
              </w:rPr>
              <w:t>.</w:t>
            </w:r>
            <w:r w:rsidR="001D4441">
              <w:rPr>
                <w:rFonts w:ascii="Trebuchet MS" w:eastAsia="Times New Roman" w:hAnsi="Trebuchet MS" w:cs="Calibri"/>
                <w:sz w:val="18"/>
                <w:szCs w:val="18"/>
              </w:rPr>
              <w:t>6</w:t>
            </w:r>
            <w:r w:rsidR="001C148B">
              <w:rPr>
                <w:rFonts w:ascii="Trebuchet MS" w:eastAsia="Times New Roman" w:hAnsi="Trebuchet MS" w:cs="Calibri"/>
                <w:sz w:val="18"/>
                <w:szCs w:val="18"/>
              </w:rPr>
              <w:t>3</w:t>
            </w:r>
            <w:r w:rsidR="008F33E1" w:rsidRPr="008F33E1">
              <w:rPr>
                <w:rFonts w:ascii="Trebuchet MS" w:eastAsia="Times New Roman" w:hAnsi="Trebuchet MS" w:cs="Calibri"/>
                <w:sz w:val="18"/>
                <w:szCs w:val="18"/>
              </w:rPr>
              <w:t>%</w:t>
            </w:r>
          </w:p>
        </w:tc>
      </w:tr>
    </w:tbl>
    <w:p w14:paraId="47D9BCE2" w14:textId="77777777" w:rsidR="00411FF5" w:rsidRPr="00EA3343" w:rsidRDefault="00411FF5" w:rsidP="003135BB">
      <w:pPr>
        <w:spacing w:after="0"/>
        <w:rPr>
          <w:rFonts w:cstheme="minorHAnsi"/>
          <w:b/>
        </w:rPr>
      </w:pPr>
    </w:p>
    <w:p w14:paraId="07300CF0" w14:textId="336E35AB" w:rsidR="00411FF5" w:rsidRPr="00EA3343" w:rsidRDefault="00411FF5" w:rsidP="003135BB">
      <w:pPr>
        <w:spacing w:after="0" w:line="240" w:lineRule="auto"/>
        <w:rPr>
          <w:rFonts w:eastAsia="Times New Roman" w:cstheme="minorHAnsi"/>
          <w:b/>
          <w:bCs/>
          <w:i/>
          <w:iCs/>
          <w:u w:val="single"/>
        </w:rPr>
      </w:pPr>
      <w:r w:rsidRPr="00EA3343">
        <w:rPr>
          <w:rFonts w:eastAsia="Times New Roman" w:cstheme="minorHAnsi"/>
          <w:b/>
          <w:bCs/>
          <w:i/>
          <w:iCs/>
          <w:u w:val="single"/>
        </w:rPr>
        <w:t>(i</w:t>
      </w:r>
      <w:r w:rsidR="00813229">
        <w:rPr>
          <w:rFonts w:eastAsia="Times New Roman" w:cstheme="minorHAnsi"/>
          <w:b/>
          <w:bCs/>
          <w:i/>
          <w:iCs/>
          <w:u w:val="single"/>
        </w:rPr>
        <w:t>v</w:t>
      </w:r>
      <w:r w:rsidRPr="00EA3343">
        <w:rPr>
          <w:rFonts w:eastAsia="Times New Roman" w:cstheme="minorHAnsi"/>
          <w:b/>
          <w:bCs/>
          <w:i/>
          <w:iCs/>
          <w:u w:val="single"/>
        </w:rPr>
        <w:t>) Funding Concentration based on significant instrument/product</w:t>
      </w:r>
    </w:p>
    <w:p w14:paraId="596CF6B4" w14:textId="77777777" w:rsidR="00411FF5" w:rsidRPr="00EA3343" w:rsidRDefault="00411FF5" w:rsidP="003135BB">
      <w:pPr>
        <w:spacing w:after="0"/>
        <w:rPr>
          <w:rFonts w:cstheme="minorHAnsi"/>
          <w:b/>
        </w:rPr>
      </w:pPr>
    </w:p>
    <w:tbl>
      <w:tblPr>
        <w:tblW w:w="7920" w:type="dxa"/>
        <w:tblLook w:val="04A0" w:firstRow="1" w:lastRow="0" w:firstColumn="1" w:lastColumn="0" w:noHBand="0" w:noVBand="1"/>
      </w:tblPr>
      <w:tblGrid>
        <w:gridCol w:w="3055"/>
        <w:gridCol w:w="1980"/>
        <w:gridCol w:w="2885"/>
      </w:tblGrid>
      <w:tr w:rsidR="001D4441" w:rsidRPr="001D4441" w14:paraId="560DE69F" w14:textId="77777777" w:rsidTr="001D4441">
        <w:trPr>
          <w:trHeight w:val="300"/>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2B293" w14:textId="546F5226" w:rsidR="001D4441" w:rsidRPr="001D4441" w:rsidRDefault="001D4441" w:rsidP="001D4441">
            <w:pPr>
              <w:spacing w:after="0" w:line="240" w:lineRule="auto"/>
              <w:jc w:val="center"/>
              <w:rPr>
                <w:rFonts w:ascii="Trebuchet MS" w:eastAsia="Times New Roman" w:hAnsi="Trebuchet MS" w:cs="Calibri"/>
                <w:b/>
                <w:bCs/>
                <w:sz w:val="18"/>
                <w:szCs w:val="18"/>
              </w:rPr>
            </w:pPr>
            <w:r w:rsidRPr="001D4441">
              <w:rPr>
                <w:rFonts w:ascii="Trebuchet MS" w:eastAsia="Times New Roman" w:hAnsi="Trebuchet MS" w:cs="Calibri"/>
                <w:b/>
                <w:bCs/>
                <w:sz w:val="18"/>
                <w:szCs w:val="18"/>
              </w:rPr>
              <w:t>Particula</w:t>
            </w:r>
            <w:r>
              <w:rPr>
                <w:rFonts w:ascii="Trebuchet MS" w:eastAsia="Times New Roman" w:hAnsi="Trebuchet MS" w:cs="Calibri"/>
                <w:b/>
                <w:bCs/>
                <w:sz w:val="18"/>
                <w:szCs w:val="18"/>
              </w:rPr>
              <w:t>r</w:t>
            </w:r>
            <w:r w:rsidRPr="001D4441">
              <w:rPr>
                <w:rFonts w:ascii="Trebuchet MS" w:eastAsia="Times New Roman" w:hAnsi="Trebuchet MS" w:cs="Calibri"/>
                <w:b/>
                <w:bCs/>
                <w:sz w:val="18"/>
                <w:szCs w:val="18"/>
              </w:rPr>
              <w:t>s</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14:paraId="66D976A2" w14:textId="772B552B" w:rsidR="001D4441" w:rsidRPr="001D4441" w:rsidRDefault="001D4441" w:rsidP="001D4441">
            <w:pPr>
              <w:spacing w:after="0" w:line="240" w:lineRule="auto"/>
              <w:rPr>
                <w:rFonts w:ascii="Trebuchet MS" w:eastAsia="Times New Roman" w:hAnsi="Trebuchet MS" w:cs="Calibri"/>
                <w:b/>
                <w:bCs/>
                <w:sz w:val="18"/>
                <w:szCs w:val="18"/>
              </w:rPr>
            </w:pPr>
            <w:r w:rsidRPr="001D4441">
              <w:rPr>
                <w:rFonts w:ascii="Trebuchet MS" w:eastAsia="Times New Roman" w:hAnsi="Trebuchet MS" w:cs="Calibri"/>
                <w:b/>
                <w:bCs/>
                <w:sz w:val="18"/>
                <w:szCs w:val="18"/>
              </w:rPr>
              <w:t>As at 30</w:t>
            </w:r>
            <w:r w:rsidRPr="001D4441">
              <w:rPr>
                <w:rFonts w:ascii="Trebuchet MS" w:eastAsia="Times New Roman" w:hAnsi="Trebuchet MS" w:cs="Calibri"/>
                <w:b/>
                <w:bCs/>
                <w:sz w:val="18"/>
                <w:szCs w:val="18"/>
                <w:vertAlign w:val="superscript"/>
              </w:rPr>
              <w:t>th</w:t>
            </w:r>
            <w:r w:rsidRPr="001D4441">
              <w:rPr>
                <w:rFonts w:ascii="Trebuchet MS" w:eastAsia="Times New Roman" w:hAnsi="Trebuchet MS" w:cs="Calibri"/>
                <w:b/>
                <w:bCs/>
                <w:sz w:val="18"/>
                <w:szCs w:val="18"/>
              </w:rPr>
              <w:t xml:space="preserve"> June 23</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3FA91EC3" w14:textId="77777777" w:rsidR="001D4441" w:rsidRPr="001D4441" w:rsidRDefault="001D4441" w:rsidP="001D4441">
            <w:pPr>
              <w:spacing w:after="0" w:line="240" w:lineRule="auto"/>
              <w:jc w:val="center"/>
              <w:rPr>
                <w:rFonts w:ascii="Trebuchet MS" w:eastAsia="Times New Roman" w:hAnsi="Trebuchet MS" w:cs="Calibri"/>
                <w:b/>
                <w:bCs/>
                <w:sz w:val="18"/>
                <w:szCs w:val="18"/>
              </w:rPr>
            </w:pPr>
            <w:r w:rsidRPr="001D4441">
              <w:rPr>
                <w:rFonts w:ascii="Trebuchet MS" w:eastAsia="Times New Roman" w:hAnsi="Trebuchet MS" w:cs="Calibri"/>
                <w:b/>
                <w:bCs/>
                <w:sz w:val="18"/>
                <w:szCs w:val="18"/>
              </w:rPr>
              <w:t>Percentage of total liabilities</w:t>
            </w:r>
          </w:p>
        </w:tc>
      </w:tr>
      <w:tr w:rsidR="001D4441" w:rsidRPr="001D4441" w14:paraId="001F96D4" w14:textId="77777777" w:rsidTr="001D4441">
        <w:trPr>
          <w:trHeight w:val="233"/>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E553C0C" w14:textId="77777777" w:rsidR="001D4441" w:rsidRPr="001D4441" w:rsidRDefault="001D4441" w:rsidP="001D4441">
            <w:pPr>
              <w:spacing w:after="0" w:line="240" w:lineRule="auto"/>
              <w:rPr>
                <w:rFonts w:ascii="Trebuchet MS" w:eastAsia="Times New Roman" w:hAnsi="Trebuchet MS" w:cs="Calibri"/>
                <w:sz w:val="18"/>
                <w:szCs w:val="18"/>
              </w:rPr>
            </w:pPr>
            <w:r w:rsidRPr="001D4441">
              <w:rPr>
                <w:rFonts w:ascii="Trebuchet MS" w:eastAsia="Times New Roman" w:hAnsi="Trebuchet MS" w:cs="Calibri"/>
                <w:sz w:val="18"/>
                <w:szCs w:val="18"/>
              </w:rPr>
              <w:t>Term Loans from Bank</w:t>
            </w:r>
          </w:p>
        </w:tc>
        <w:tc>
          <w:tcPr>
            <w:tcW w:w="1980" w:type="dxa"/>
            <w:tcBorders>
              <w:top w:val="nil"/>
              <w:left w:val="nil"/>
              <w:bottom w:val="single" w:sz="4" w:space="0" w:color="auto"/>
              <w:right w:val="single" w:sz="4" w:space="0" w:color="auto"/>
            </w:tcBorders>
            <w:shd w:val="clear" w:color="auto" w:fill="auto"/>
            <w:noWrap/>
            <w:vAlign w:val="bottom"/>
            <w:hideMark/>
          </w:tcPr>
          <w:p w14:paraId="56ED93D7" w14:textId="58F9F8AA" w:rsidR="001D4441" w:rsidRPr="001D4441" w:rsidRDefault="001D4441" w:rsidP="001D4441">
            <w:pPr>
              <w:spacing w:after="0" w:line="240" w:lineRule="auto"/>
              <w:jc w:val="right"/>
              <w:rPr>
                <w:rFonts w:ascii="Trebuchet MS" w:eastAsia="Times New Roman" w:hAnsi="Trebuchet MS" w:cs="Calibri"/>
                <w:sz w:val="18"/>
                <w:szCs w:val="18"/>
              </w:rPr>
            </w:pPr>
            <w:r w:rsidRPr="001D4441">
              <w:rPr>
                <w:rFonts w:ascii="Trebuchet MS" w:eastAsia="Times New Roman" w:hAnsi="Trebuchet MS" w:cs="Calibri"/>
                <w:sz w:val="18"/>
                <w:szCs w:val="18"/>
              </w:rPr>
              <w:t xml:space="preserve">                  </w:t>
            </w:r>
            <w:r>
              <w:rPr>
                <w:rFonts w:ascii="Trebuchet MS" w:eastAsia="Times New Roman" w:hAnsi="Trebuchet MS" w:cs="Calibri"/>
                <w:sz w:val="18"/>
                <w:szCs w:val="18"/>
              </w:rPr>
              <w:t xml:space="preserve">    </w:t>
            </w:r>
            <w:r w:rsidRPr="001D4441">
              <w:rPr>
                <w:rFonts w:ascii="Trebuchet MS" w:eastAsia="Times New Roman" w:hAnsi="Trebuchet MS" w:cs="Calibri"/>
                <w:sz w:val="18"/>
                <w:szCs w:val="18"/>
              </w:rPr>
              <w:t xml:space="preserve">11,042.74 </w:t>
            </w:r>
          </w:p>
        </w:tc>
        <w:tc>
          <w:tcPr>
            <w:tcW w:w="2885" w:type="dxa"/>
            <w:tcBorders>
              <w:top w:val="nil"/>
              <w:left w:val="nil"/>
              <w:bottom w:val="single" w:sz="4" w:space="0" w:color="auto"/>
              <w:right w:val="single" w:sz="4" w:space="0" w:color="auto"/>
            </w:tcBorders>
            <w:shd w:val="clear" w:color="auto" w:fill="auto"/>
            <w:noWrap/>
            <w:vAlign w:val="bottom"/>
            <w:hideMark/>
          </w:tcPr>
          <w:p w14:paraId="734D8621" w14:textId="77777777" w:rsidR="001D4441" w:rsidRPr="001D4441" w:rsidRDefault="001D4441" w:rsidP="001D4441">
            <w:pPr>
              <w:spacing w:after="0" w:line="240" w:lineRule="auto"/>
              <w:jc w:val="right"/>
              <w:rPr>
                <w:rFonts w:ascii="Trebuchet MS" w:eastAsia="Times New Roman" w:hAnsi="Trebuchet MS" w:cs="Calibri"/>
                <w:sz w:val="18"/>
                <w:szCs w:val="18"/>
              </w:rPr>
            </w:pPr>
            <w:r w:rsidRPr="001D4441">
              <w:rPr>
                <w:rFonts w:ascii="Trebuchet MS" w:eastAsia="Times New Roman" w:hAnsi="Trebuchet MS" w:cs="Calibri"/>
                <w:sz w:val="18"/>
                <w:szCs w:val="18"/>
              </w:rPr>
              <w:t>50.02%</w:t>
            </w:r>
          </w:p>
        </w:tc>
      </w:tr>
      <w:tr w:rsidR="001D4441" w:rsidRPr="001D4441" w14:paraId="76712C26" w14:textId="77777777" w:rsidTr="001D4441">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6E9F9CA" w14:textId="77777777" w:rsidR="001D4441" w:rsidRPr="001D4441" w:rsidRDefault="001D4441" w:rsidP="001D4441">
            <w:pPr>
              <w:spacing w:after="0" w:line="240" w:lineRule="auto"/>
              <w:rPr>
                <w:rFonts w:ascii="Trebuchet MS" w:eastAsia="Times New Roman" w:hAnsi="Trebuchet MS" w:cs="Calibri"/>
                <w:sz w:val="18"/>
                <w:szCs w:val="18"/>
              </w:rPr>
            </w:pPr>
            <w:r w:rsidRPr="001D4441">
              <w:rPr>
                <w:rFonts w:ascii="Trebuchet MS" w:eastAsia="Times New Roman" w:hAnsi="Trebuchet MS" w:cs="Calibri"/>
                <w:sz w:val="18"/>
                <w:szCs w:val="18"/>
              </w:rPr>
              <w:t>Working Capital Bank Line</w:t>
            </w:r>
          </w:p>
        </w:tc>
        <w:tc>
          <w:tcPr>
            <w:tcW w:w="1980" w:type="dxa"/>
            <w:tcBorders>
              <w:top w:val="nil"/>
              <w:left w:val="nil"/>
              <w:bottom w:val="single" w:sz="4" w:space="0" w:color="auto"/>
              <w:right w:val="single" w:sz="4" w:space="0" w:color="auto"/>
            </w:tcBorders>
            <w:shd w:val="clear" w:color="auto" w:fill="auto"/>
            <w:noWrap/>
            <w:vAlign w:val="bottom"/>
            <w:hideMark/>
          </w:tcPr>
          <w:p w14:paraId="69208BC1" w14:textId="77777777" w:rsidR="001D4441" w:rsidRPr="001D4441" w:rsidRDefault="001D4441" w:rsidP="001D4441">
            <w:pPr>
              <w:spacing w:after="0" w:line="240" w:lineRule="auto"/>
              <w:jc w:val="right"/>
              <w:rPr>
                <w:rFonts w:ascii="Trebuchet MS" w:eastAsia="Times New Roman" w:hAnsi="Trebuchet MS" w:cs="Calibri"/>
                <w:sz w:val="18"/>
                <w:szCs w:val="18"/>
              </w:rPr>
            </w:pPr>
            <w:r w:rsidRPr="001D4441">
              <w:rPr>
                <w:rFonts w:ascii="Trebuchet MS" w:eastAsia="Times New Roman" w:hAnsi="Trebuchet MS" w:cs="Calibri"/>
                <w:sz w:val="18"/>
                <w:szCs w:val="18"/>
              </w:rPr>
              <w:t xml:space="preserve">                   2,885.00 </w:t>
            </w:r>
          </w:p>
        </w:tc>
        <w:tc>
          <w:tcPr>
            <w:tcW w:w="2885" w:type="dxa"/>
            <w:tcBorders>
              <w:top w:val="nil"/>
              <w:left w:val="nil"/>
              <w:bottom w:val="single" w:sz="4" w:space="0" w:color="auto"/>
              <w:right w:val="single" w:sz="4" w:space="0" w:color="auto"/>
            </w:tcBorders>
            <w:shd w:val="clear" w:color="auto" w:fill="auto"/>
            <w:noWrap/>
            <w:vAlign w:val="bottom"/>
            <w:hideMark/>
          </w:tcPr>
          <w:p w14:paraId="209E5D62" w14:textId="77777777" w:rsidR="001D4441" w:rsidRPr="001D4441" w:rsidRDefault="001D4441" w:rsidP="001D4441">
            <w:pPr>
              <w:spacing w:after="0" w:line="240" w:lineRule="auto"/>
              <w:jc w:val="right"/>
              <w:rPr>
                <w:rFonts w:ascii="Trebuchet MS" w:eastAsia="Times New Roman" w:hAnsi="Trebuchet MS" w:cs="Calibri"/>
                <w:sz w:val="18"/>
                <w:szCs w:val="18"/>
              </w:rPr>
            </w:pPr>
            <w:r w:rsidRPr="001D4441">
              <w:rPr>
                <w:rFonts w:ascii="Trebuchet MS" w:eastAsia="Times New Roman" w:hAnsi="Trebuchet MS" w:cs="Calibri"/>
                <w:sz w:val="18"/>
                <w:szCs w:val="18"/>
              </w:rPr>
              <w:t>13.07%</w:t>
            </w:r>
          </w:p>
        </w:tc>
      </w:tr>
      <w:tr w:rsidR="001D4441" w:rsidRPr="001D4441" w14:paraId="3CDF7828" w14:textId="77777777" w:rsidTr="001D4441">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EB7ACCE" w14:textId="77777777" w:rsidR="001D4441" w:rsidRPr="001D4441" w:rsidRDefault="001D4441" w:rsidP="001D4441">
            <w:pPr>
              <w:spacing w:after="0" w:line="240" w:lineRule="auto"/>
              <w:rPr>
                <w:rFonts w:ascii="Trebuchet MS" w:eastAsia="Times New Roman" w:hAnsi="Trebuchet MS" w:cs="Calibri"/>
                <w:sz w:val="18"/>
                <w:szCs w:val="18"/>
              </w:rPr>
            </w:pPr>
            <w:r w:rsidRPr="001D4441">
              <w:rPr>
                <w:rFonts w:ascii="Trebuchet MS" w:eastAsia="Times New Roman" w:hAnsi="Trebuchet MS" w:cs="Calibri"/>
                <w:sz w:val="18"/>
                <w:szCs w:val="18"/>
              </w:rPr>
              <w:t>Commercial Paper</w:t>
            </w:r>
          </w:p>
        </w:tc>
        <w:tc>
          <w:tcPr>
            <w:tcW w:w="1980" w:type="dxa"/>
            <w:tcBorders>
              <w:top w:val="nil"/>
              <w:left w:val="nil"/>
              <w:bottom w:val="single" w:sz="4" w:space="0" w:color="auto"/>
              <w:right w:val="single" w:sz="4" w:space="0" w:color="auto"/>
            </w:tcBorders>
            <w:shd w:val="clear" w:color="auto" w:fill="auto"/>
            <w:noWrap/>
            <w:vAlign w:val="bottom"/>
            <w:hideMark/>
          </w:tcPr>
          <w:p w14:paraId="176D568C" w14:textId="77777777" w:rsidR="001D4441" w:rsidRPr="001D4441" w:rsidRDefault="001D4441" w:rsidP="001D4441">
            <w:pPr>
              <w:spacing w:after="0" w:line="240" w:lineRule="auto"/>
              <w:jc w:val="right"/>
              <w:rPr>
                <w:rFonts w:ascii="Trebuchet MS" w:eastAsia="Times New Roman" w:hAnsi="Trebuchet MS" w:cs="Calibri"/>
                <w:sz w:val="18"/>
                <w:szCs w:val="18"/>
              </w:rPr>
            </w:pPr>
            <w:r w:rsidRPr="001D4441">
              <w:rPr>
                <w:rFonts w:ascii="Trebuchet MS" w:eastAsia="Times New Roman" w:hAnsi="Trebuchet MS" w:cs="Calibri"/>
                <w:sz w:val="18"/>
                <w:szCs w:val="18"/>
              </w:rPr>
              <w:t xml:space="preserve">                   1,781.70 </w:t>
            </w:r>
          </w:p>
        </w:tc>
        <w:tc>
          <w:tcPr>
            <w:tcW w:w="2885" w:type="dxa"/>
            <w:tcBorders>
              <w:top w:val="nil"/>
              <w:left w:val="nil"/>
              <w:bottom w:val="single" w:sz="4" w:space="0" w:color="auto"/>
              <w:right w:val="single" w:sz="4" w:space="0" w:color="auto"/>
            </w:tcBorders>
            <w:shd w:val="clear" w:color="auto" w:fill="auto"/>
            <w:noWrap/>
            <w:vAlign w:val="bottom"/>
            <w:hideMark/>
          </w:tcPr>
          <w:p w14:paraId="589DE823" w14:textId="77777777" w:rsidR="001D4441" w:rsidRPr="001D4441" w:rsidRDefault="001D4441" w:rsidP="001D4441">
            <w:pPr>
              <w:spacing w:after="0" w:line="240" w:lineRule="auto"/>
              <w:jc w:val="right"/>
              <w:rPr>
                <w:rFonts w:ascii="Trebuchet MS" w:eastAsia="Times New Roman" w:hAnsi="Trebuchet MS" w:cs="Calibri"/>
                <w:sz w:val="18"/>
                <w:szCs w:val="18"/>
              </w:rPr>
            </w:pPr>
            <w:r w:rsidRPr="001D4441">
              <w:rPr>
                <w:rFonts w:ascii="Trebuchet MS" w:eastAsia="Times New Roman" w:hAnsi="Trebuchet MS" w:cs="Calibri"/>
                <w:sz w:val="18"/>
                <w:szCs w:val="18"/>
              </w:rPr>
              <w:t>8.07%</w:t>
            </w:r>
          </w:p>
        </w:tc>
      </w:tr>
      <w:tr w:rsidR="001D4441" w:rsidRPr="001D4441" w14:paraId="033445DD" w14:textId="77777777" w:rsidTr="001D4441">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4117085" w14:textId="77777777" w:rsidR="001D4441" w:rsidRPr="001D4441" w:rsidRDefault="001D4441" w:rsidP="001D4441">
            <w:pPr>
              <w:spacing w:after="0" w:line="240" w:lineRule="auto"/>
              <w:rPr>
                <w:rFonts w:ascii="Trebuchet MS" w:eastAsia="Times New Roman" w:hAnsi="Trebuchet MS" w:cs="Calibri"/>
                <w:sz w:val="18"/>
                <w:szCs w:val="18"/>
              </w:rPr>
            </w:pPr>
            <w:r w:rsidRPr="001D4441">
              <w:rPr>
                <w:rFonts w:ascii="Trebuchet MS" w:eastAsia="Times New Roman" w:hAnsi="Trebuchet MS" w:cs="Calibri"/>
                <w:sz w:val="18"/>
                <w:szCs w:val="18"/>
              </w:rPr>
              <w:t>External Commercial Borrowings</w:t>
            </w:r>
          </w:p>
        </w:tc>
        <w:tc>
          <w:tcPr>
            <w:tcW w:w="1980" w:type="dxa"/>
            <w:tcBorders>
              <w:top w:val="nil"/>
              <w:left w:val="nil"/>
              <w:bottom w:val="single" w:sz="4" w:space="0" w:color="auto"/>
              <w:right w:val="single" w:sz="4" w:space="0" w:color="auto"/>
            </w:tcBorders>
            <w:shd w:val="clear" w:color="auto" w:fill="auto"/>
            <w:noWrap/>
            <w:vAlign w:val="bottom"/>
            <w:hideMark/>
          </w:tcPr>
          <w:p w14:paraId="0C167DEE" w14:textId="77777777" w:rsidR="001D4441" w:rsidRPr="001D4441" w:rsidRDefault="001D4441" w:rsidP="001D4441">
            <w:pPr>
              <w:spacing w:after="0" w:line="240" w:lineRule="auto"/>
              <w:jc w:val="right"/>
              <w:rPr>
                <w:rFonts w:ascii="Trebuchet MS" w:eastAsia="Times New Roman" w:hAnsi="Trebuchet MS" w:cs="Calibri"/>
                <w:sz w:val="18"/>
                <w:szCs w:val="18"/>
              </w:rPr>
            </w:pPr>
            <w:r w:rsidRPr="001D4441">
              <w:rPr>
                <w:rFonts w:ascii="Trebuchet MS" w:eastAsia="Times New Roman" w:hAnsi="Trebuchet MS" w:cs="Calibri"/>
                <w:sz w:val="18"/>
                <w:szCs w:val="18"/>
              </w:rPr>
              <w:t xml:space="preserve">                   1,613.83 </w:t>
            </w:r>
          </w:p>
        </w:tc>
        <w:tc>
          <w:tcPr>
            <w:tcW w:w="2885" w:type="dxa"/>
            <w:tcBorders>
              <w:top w:val="nil"/>
              <w:left w:val="nil"/>
              <w:bottom w:val="single" w:sz="4" w:space="0" w:color="auto"/>
              <w:right w:val="single" w:sz="4" w:space="0" w:color="auto"/>
            </w:tcBorders>
            <w:shd w:val="clear" w:color="auto" w:fill="auto"/>
            <w:noWrap/>
            <w:vAlign w:val="bottom"/>
            <w:hideMark/>
          </w:tcPr>
          <w:p w14:paraId="55E9BE3E" w14:textId="77777777" w:rsidR="001D4441" w:rsidRPr="001D4441" w:rsidRDefault="001D4441" w:rsidP="001D4441">
            <w:pPr>
              <w:spacing w:after="0" w:line="240" w:lineRule="auto"/>
              <w:jc w:val="right"/>
              <w:rPr>
                <w:rFonts w:ascii="Trebuchet MS" w:eastAsia="Times New Roman" w:hAnsi="Trebuchet MS" w:cs="Calibri"/>
                <w:sz w:val="18"/>
                <w:szCs w:val="18"/>
              </w:rPr>
            </w:pPr>
            <w:r w:rsidRPr="001D4441">
              <w:rPr>
                <w:rFonts w:ascii="Trebuchet MS" w:eastAsia="Times New Roman" w:hAnsi="Trebuchet MS" w:cs="Calibri"/>
                <w:sz w:val="18"/>
                <w:szCs w:val="18"/>
              </w:rPr>
              <w:t>7.31%</w:t>
            </w:r>
          </w:p>
        </w:tc>
      </w:tr>
      <w:tr w:rsidR="001D4441" w:rsidRPr="001D4441" w14:paraId="711D2C54" w14:textId="77777777" w:rsidTr="001D4441">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768F400" w14:textId="77777777" w:rsidR="001D4441" w:rsidRPr="001D4441" w:rsidRDefault="001D4441" w:rsidP="001D4441">
            <w:pPr>
              <w:spacing w:after="0" w:line="240" w:lineRule="auto"/>
              <w:rPr>
                <w:rFonts w:ascii="Trebuchet MS" w:eastAsia="Times New Roman" w:hAnsi="Trebuchet MS" w:cs="Calibri"/>
                <w:sz w:val="18"/>
                <w:szCs w:val="18"/>
              </w:rPr>
            </w:pPr>
            <w:r w:rsidRPr="001D4441">
              <w:rPr>
                <w:rFonts w:ascii="Trebuchet MS" w:eastAsia="Times New Roman" w:hAnsi="Trebuchet MS" w:cs="Calibri"/>
                <w:sz w:val="18"/>
                <w:szCs w:val="18"/>
              </w:rPr>
              <w:t>Sub-ordinated debts</w:t>
            </w:r>
          </w:p>
        </w:tc>
        <w:tc>
          <w:tcPr>
            <w:tcW w:w="1980" w:type="dxa"/>
            <w:tcBorders>
              <w:top w:val="nil"/>
              <w:left w:val="nil"/>
              <w:bottom w:val="single" w:sz="4" w:space="0" w:color="auto"/>
              <w:right w:val="single" w:sz="4" w:space="0" w:color="auto"/>
            </w:tcBorders>
            <w:shd w:val="clear" w:color="auto" w:fill="auto"/>
            <w:noWrap/>
            <w:vAlign w:val="bottom"/>
            <w:hideMark/>
          </w:tcPr>
          <w:p w14:paraId="606546C4" w14:textId="77777777" w:rsidR="001D4441" w:rsidRPr="001D4441" w:rsidRDefault="001D4441" w:rsidP="001D4441">
            <w:pPr>
              <w:spacing w:after="0" w:line="240" w:lineRule="auto"/>
              <w:jc w:val="right"/>
              <w:rPr>
                <w:rFonts w:ascii="Trebuchet MS" w:eastAsia="Times New Roman" w:hAnsi="Trebuchet MS" w:cs="Calibri"/>
                <w:sz w:val="18"/>
                <w:szCs w:val="18"/>
              </w:rPr>
            </w:pPr>
            <w:r w:rsidRPr="001D4441">
              <w:rPr>
                <w:rFonts w:ascii="Trebuchet MS" w:eastAsia="Times New Roman" w:hAnsi="Trebuchet MS" w:cs="Calibri"/>
                <w:sz w:val="18"/>
                <w:szCs w:val="18"/>
              </w:rPr>
              <w:t xml:space="preserve">                   1,595.27 </w:t>
            </w:r>
          </w:p>
        </w:tc>
        <w:tc>
          <w:tcPr>
            <w:tcW w:w="2885" w:type="dxa"/>
            <w:tcBorders>
              <w:top w:val="nil"/>
              <w:left w:val="nil"/>
              <w:bottom w:val="single" w:sz="4" w:space="0" w:color="auto"/>
              <w:right w:val="single" w:sz="4" w:space="0" w:color="auto"/>
            </w:tcBorders>
            <w:shd w:val="clear" w:color="auto" w:fill="auto"/>
            <w:noWrap/>
            <w:vAlign w:val="bottom"/>
            <w:hideMark/>
          </w:tcPr>
          <w:p w14:paraId="2858C8D4" w14:textId="77777777" w:rsidR="001D4441" w:rsidRPr="001D4441" w:rsidRDefault="001D4441" w:rsidP="001D4441">
            <w:pPr>
              <w:spacing w:after="0" w:line="240" w:lineRule="auto"/>
              <w:jc w:val="right"/>
              <w:rPr>
                <w:rFonts w:ascii="Trebuchet MS" w:eastAsia="Times New Roman" w:hAnsi="Trebuchet MS" w:cs="Calibri"/>
                <w:sz w:val="18"/>
                <w:szCs w:val="18"/>
              </w:rPr>
            </w:pPr>
            <w:r w:rsidRPr="001D4441">
              <w:rPr>
                <w:rFonts w:ascii="Trebuchet MS" w:eastAsia="Times New Roman" w:hAnsi="Trebuchet MS" w:cs="Calibri"/>
                <w:sz w:val="18"/>
                <w:szCs w:val="18"/>
              </w:rPr>
              <w:t>7.23%</w:t>
            </w:r>
          </w:p>
        </w:tc>
      </w:tr>
      <w:tr w:rsidR="001D4441" w:rsidRPr="001D4441" w14:paraId="673373DD" w14:textId="77777777" w:rsidTr="001D4441">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73A7F04" w14:textId="77777777" w:rsidR="001D4441" w:rsidRPr="001D4441" w:rsidRDefault="001D4441" w:rsidP="001D4441">
            <w:pPr>
              <w:spacing w:after="0" w:line="240" w:lineRule="auto"/>
              <w:rPr>
                <w:rFonts w:ascii="Trebuchet MS" w:eastAsia="Times New Roman" w:hAnsi="Trebuchet MS" w:cs="Calibri"/>
                <w:sz w:val="18"/>
                <w:szCs w:val="18"/>
              </w:rPr>
            </w:pPr>
            <w:r w:rsidRPr="001D4441">
              <w:rPr>
                <w:rFonts w:ascii="Trebuchet MS" w:eastAsia="Times New Roman" w:hAnsi="Trebuchet MS" w:cs="Calibri"/>
                <w:sz w:val="18"/>
                <w:szCs w:val="18"/>
              </w:rPr>
              <w:t>NCD</w:t>
            </w:r>
          </w:p>
        </w:tc>
        <w:tc>
          <w:tcPr>
            <w:tcW w:w="1980" w:type="dxa"/>
            <w:tcBorders>
              <w:top w:val="nil"/>
              <w:left w:val="nil"/>
              <w:bottom w:val="single" w:sz="4" w:space="0" w:color="auto"/>
              <w:right w:val="single" w:sz="4" w:space="0" w:color="auto"/>
            </w:tcBorders>
            <w:shd w:val="clear" w:color="auto" w:fill="auto"/>
            <w:noWrap/>
            <w:vAlign w:val="bottom"/>
            <w:hideMark/>
          </w:tcPr>
          <w:p w14:paraId="6A277087" w14:textId="77777777" w:rsidR="001D4441" w:rsidRPr="001D4441" w:rsidRDefault="001D4441" w:rsidP="001D4441">
            <w:pPr>
              <w:spacing w:after="0" w:line="240" w:lineRule="auto"/>
              <w:jc w:val="right"/>
              <w:rPr>
                <w:rFonts w:ascii="Trebuchet MS" w:eastAsia="Times New Roman" w:hAnsi="Trebuchet MS" w:cs="Calibri"/>
                <w:sz w:val="18"/>
                <w:szCs w:val="18"/>
              </w:rPr>
            </w:pPr>
            <w:r w:rsidRPr="001D4441">
              <w:rPr>
                <w:rFonts w:ascii="Trebuchet MS" w:eastAsia="Times New Roman" w:hAnsi="Trebuchet MS" w:cs="Calibri"/>
                <w:sz w:val="18"/>
                <w:szCs w:val="18"/>
              </w:rPr>
              <w:t xml:space="preserve">                   1,450.00 </w:t>
            </w:r>
          </w:p>
        </w:tc>
        <w:tc>
          <w:tcPr>
            <w:tcW w:w="2885" w:type="dxa"/>
            <w:tcBorders>
              <w:top w:val="nil"/>
              <w:left w:val="nil"/>
              <w:bottom w:val="single" w:sz="4" w:space="0" w:color="auto"/>
              <w:right w:val="single" w:sz="4" w:space="0" w:color="auto"/>
            </w:tcBorders>
            <w:shd w:val="clear" w:color="auto" w:fill="auto"/>
            <w:noWrap/>
            <w:vAlign w:val="bottom"/>
            <w:hideMark/>
          </w:tcPr>
          <w:p w14:paraId="0614CE1A" w14:textId="77777777" w:rsidR="001D4441" w:rsidRPr="001D4441" w:rsidRDefault="001D4441" w:rsidP="001D4441">
            <w:pPr>
              <w:spacing w:after="0" w:line="240" w:lineRule="auto"/>
              <w:jc w:val="right"/>
              <w:rPr>
                <w:rFonts w:ascii="Trebuchet MS" w:eastAsia="Times New Roman" w:hAnsi="Trebuchet MS" w:cs="Calibri"/>
                <w:sz w:val="18"/>
                <w:szCs w:val="18"/>
              </w:rPr>
            </w:pPr>
            <w:r w:rsidRPr="001D4441">
              <w:rPr>
                <w:rFonts w:ascii="Trebuchet MS" w:eastAsia="Times New Roman" w:hAnsi="Trebuchet MS" w:cs="Calibri"/>
                <w:sz w:val="18"/>
                <w:szCs w:val="18"/>
              </w:rPr>
              <w:t>6.57%</w:t>
            </w:r>
          </w:p>
        </w:tc>
      </w:tr>
    </w:tbl>
    <w:p w14:paraId="6C317339" w14:textId="77777777" w:rsidR="00974858" w:rsidRPr="00EA3343" w:rsidRDefault="00974858" w:rsidP="00411FF5">
      <w:pPr>
        <w:spacing w:after="0" w:line="240" w:lineRule="auto"/>
        <w:rPr>
          <w:rFonts w:eastAsia="Times New Roman" w:cstheme="minorHAnsi"/>
        </w:rPr>
      </w:pPr>
    </w:p>
    <w:p w14:paraId="3F7D33E3" w14:textId="07A1CD03" w:rsidR="00B52A6D" w:rsidRDefault="00411FF5" w:rsidP="00813229">
      <w:pPr>
        <w:spacing w:after="0" w:line="240" w:lineRule="auto"/>
        <w:jc w:val="both"/>
        <w:rPr>
          <w:rFonts w:eastAsia="Times New Roman" w:cstheme="minorHAnsi"/>
          <w:sz w:val="18"/>
          <w:szCs w:val="18"/>
        </w:rPr>
      </w:pPr>
      <w:r w:rsidRPr="009D53DA">
        <w:rPr>
          <w:rFonts w:eastAsia="Times New Roman" w:cstheme="minorHAnsi"/>
          <w:sz w:val="18"/>
          <w:szCs w:val="18"/>
        </w:rPr>
        <w:t>A "Significant instrument/product" is defined in RBI Circular RBI/2019-20/88 DOR.NBFC (PD) CC.No.102/03.10.001/2019-20 dated 4 November 2019 on Liquidity Risk Management Framework a single instrument/product of group of similar instruments/products which in aggregate amount to more than 1% of the NBFC-NDSI's, NBFC-Ds total liabilities and 10% for other non-deposit taking NBFCs</w:t>
      </w:r>
      <w:r w:rsidR="009D53DA">
        <w:rPr>
          <w:rFonts w:eastAsia="Times New Roman" w:cstheme="minorHAnsi"/>
          <w:sz w:val="18"/>
          <w:szCs w:val="18"/>
        </w:rPr>
        <w:t>.</w:t>
      </w:r>
    </w:p>
    <w:p w14:paraId="65429646" w14:textId="77777777" w:rsidR="009D53DA" w:rsidRPr="009D53DA" w:rsidRDefault="009D53DA" w:rsidP="00813229">
      <w:pPr>
        <w:spacing w:after="0" w:line="240" w:lineRule="auto"/>
        <w:jc w:val="both"/>
        <w:rPr>
          <w:rFonts w:eastAsia="Times New Roman" w:cstheme="minorHAnsi"/>
          <w:sz w:val="18"/>
          <w:szCs w:val="18"/>
        </w:rPr>
      </w:pPr>
    </w:p>
    <w:p w14:paraId="413C580B" w14:textId="765A5197" w:rsidR="00411FF5" w:rsidRPr="00EA3343" w:rsidRDefault="00411FF5" w:rsidP="00411FF5">
      <w:pPr>
        <w:spacing w:after="0" w:line="240" w:lineRule="auto"/>
        <w:rPr>
          <w:rFonts w:eastAsia="Times New Roman" w:cstheme="minorHAnsi"/>
          <w:b/>
          <w:bCs/>
          <w:i/>
          <w:iCs/>
          <w:u w:val="single"/>
        </w:rPr>
      </w:pPr>
      <w:r w:rsidRPr="00EA3343">
        <w:rPr>
          <w:rFonts w:eastAsia="Times New Roman" w:cstheme="minorHAnsi"/>
          <w:b/>
          <w:bCs/>
          <w:i/>
          <w:iCs/>
          <w:u w:val="single"/>
        </w:rPr>
        <w:lastRenderedPageBreak/>
        <w:t>(v) Stock Ratios:</w:t>
      </w:r>
    </w:p>
    <w:p w14:paraId="430A69E6" w14:textId="77777777" w:rsidR="00411FF5" w:rsidRPr="00EA3343" w:rsidRDefault="00411FF5" w:rsidP="00411FF5">
      <w:pPr>
        <w:rPr>
          <w:rFonts w:cstheme="minorHAnsi"/>
          <w:b/>
        </w:rPr>
      </w:pPr>
    </w:p>
    <w:tbl>
      <w:tblPr>
        <w:tblW w:w="7915" w:type="dxa"/>
        <w:tblLook w:val="04A0" w:firstRow="1" w:lastRow="0" w:firstColumn="1" w:lastColumn="0" w:noHBand="0" w:noVBand="1"/>
      </w:tblPr>
      <w:tblGrid>
        <w:gridCol w:w="5580"/>
        <w:gridCol w:w="2335"/>
      </w:tblGrid>
      <w:tr w:rsidR="00FD03BB" w:rsidRPr="00FD03BB" w14:paraId="51AB1865" w14:textId="77777777" w:rsidTr="00633367">
        <w:trPr>
          <w:trHeight w:val="377"/>
        </w:trPr>
        <w:tc>
          <w:tcPr>
            <w:tcW w:w="5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0B202" w14:textId="77777777" w:rsidR="00FD03BB" w:rsidRPr="00FD03BB" w:rsidRDefault="00FD03BB" w:rsidP="00FD03BB">
            <w:pPr>
              <w:spacing w:after="0" w:line="240" w:lineRule="auto"/>
              <w:jc w:val="center"/>
              <w:rPr>
                <w:rFonts w:ascii="Trebuchet MS" w:eastAsia="Times New Roman" w:hAnsi="Trebuchet MS" w:cs="Calibri"/>
                <w:b/>
                <w:bCs/>
                <w:color w:val="000000"/>
                <w:sz w:val="18"/>
                <w:szCs w:val="18"/>
              </w:rPr>
            </w:pPr>
            <w:r w:rsidRPr="00FD03BB">
              <w:rPr>
                <w:rFonts w:ascii="Trebuchet MS" w:eastAsia="Times New Roman" w:hAnsi="Trebuchet MS" w:cs="Calibri"/>
                <w:b/>
                <w:bCs/>
                <w:color w:val="000000"/>
                <w:sz w:val="18"/>
                <w:szCs w:val="18"/>
              </w:rPr>
              <w:t xml:space="preserve">Particulars </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35F9F7FB" w14:textId="77777777" w:rsidR="00FD03BB" w:rsidRPr="00FD03BB" w:rsidRDefault="00FD03BB" w:rsidP="00FD03BB">
            <w:pPr>
              <w:spacing w:after="0" w:line="240" w:lineRule="auto"/>
              <w:jc w:val="center"/>
              <w:rPr>
                <w:rFonts w:ascii="Trebuchet MS" w:eastAsia="Times New Roman" w:hAnsi="Trebuchet MS" w:cs="Calibri"/>
                <w:b/>
                <w:bCs/>
                <w:color w:val="000000"/>
                <w:sz w:val="18"/>
                <w:szCs w:val="18"/>
              </w:rPr>
            </w:pPr>
            <w:r w:rsidRPr="00FD03BB">
              <w:rPr>
                <w:rFonts w:ascii="Trebuchet MS" w:eastAsia="Times New Roman" w:hAnsi="Trebuchet MS" w:cs="Calibri"/>
                <w:b/>
                <w:bCs/>
                <w:color w:val="000000"/>
                <w:sz w:val="18"/>
                <w:szCs w:val="18"/>
              </w:rPr>
              <w:t>As at 31st March 2023</w:t>
            </w:r>
          </w:p>
        </w:tc>
      </w:tr>
      <w:tr w:rsidR="00FD03BB" w:rsidRPr="00FD03BB" w14:paraId="4898C05F" w14:textId="77777777" w:rsidTr="00633367">
        <w:trPr>
          <w:trHeight w:val="300"/>
        </w:trPr>
        <w:tc>
          <w:tcPr>
            <w:tcW w:w="5580" w:type="dxa"/>
            <w:tcBorders>
              <w:top w:val="nil"/>
              <w:left w:val="single" w:sz="4" w:space="0" w:color="auto"/>
              <w:bottom w:val="single" w:sz="4" w:space="0" w:color="auto"/>
              <w:right w:val="single" w:sz="4" w:space="0" w:color="auto"/>
            </w:tcBorders>
            <w:shd w:val="clear" w:color="auto" w:fill="auto"/>
            <w:vAlign w:val="bottom"/>
            <w:hideMark/>
          </w:tcPr>
          <w:p w14:paraId="2BD3CE15" w14:textId="77777777" w:rsidR="00FD03BB" w:rsidRPr="00FD03BB" w:rsidRDefault="00FD03BB" w:rsidP="00FD03BB">
            <w:pPr>
              <w:spacing w:after="0" w:line="240" w:lineRule="auto"/>
              <w:rPr>
                <w:rFonts w:ascii="Trebuchet MS" w:eastAsia="Times New Roman" w:hAnsi="Trebuchet MS" w:cs="Calibri"/>
                <w:color w:val="000000"/>
                <w:sz w:val="18"/>
                <w:szCs w:val="18"/>
              </w:rPr>
            </w:pPr>
            <w:r w:rsidRPr="00FD03BB">
              <w:rPr>
                <w:rFonts w:ascii="Trebuchet MS" w:eastAsia="Times New Roman" w:hAnsi="Trebuchet MS" w:cs="Calibri"/>
                <w:color w:val="000000"/>
                <w:sz w:val="18"/>
                <w:szCs w:val="18"/>
              </w:rPr>
              <w:t xml:space="preserve"> Commercial papers as a % of total public funds </w:t>
            </w:r>
          </w:p>
        </w:tc>
        <w:tc>
          <w:tcPr>
            <w:tcW w:w="2335" w:type="dxa"/>
            <w:tcBorders>
              <w:top w:val="nil"/>
              <w:left w:val="nil"/>
              <w:bottom w:val="single" w:sz="4" w:space="0" w:color="auto"/>
              <w:right w:val="single" w:sz="4" w:space="0" w:color="auto"/>
            </w:tcBorders>
            <w:shd w:val="clear" w:color="auto" w:fill="auto"/>
            <w:noWrap/>
            <w:vAlign w:val="bottom"/>
            <w:hideMark/>
          </w:tcPr>
          <w:p w14:paraId="7795CAFA" w14:textId="46AE5346" w:rsidR="00FD03BB" w:rsidRPr="00FD03BB" w:rsidRDefault="001D4441" w:rsidP="00FD03BB">
            <w:pPr>
              <w:spacing w:after="0" w:line="240" w:lineRule="auto"/>
              <w:jc w:val="right"/>
              <w:rPr>
                <w:rFonts w:ascii="Trebuchet MS" w:eastAsia="Times New Roman" w:hAnsi="Trebuchet MS" w:cs="Calibri"/>
                <w:color w:val="000000"/>
                <w:sz w:val="18"/>
                <w:szCs w:val="18"/>
              </w:rPr>
            </w:pPr>
            <w:r>
              <w:rPr>
                <w:rFonts w:ascii="Trebuchet MS" w:eastAsia="Times New Roman" w:hAnsi="Trebuchet MS" w:cs="Calibri"/>
                <w:color w:val="000000"/>
                <w:sz w:val="18"/>
                <w:szCs w:val="18"/>
              </w:rPr>
              <w:t>8</w:t>
            </w:r>
            <w:r w:rsidR="00FD03BB" w:rsidRPr="00FD03BB">
              <w:rPr>
                <w:rFonts w:ascii="Trebuchet MS" w:eastAsia="Times New Roman" w:hAnsi="Trebuchet MS" w:cs="Calibri"/>
                <w:color w:val="000000"/>
                <w:sz w:val="18"/>
                <w:szCs w:val="18"/>
              </w:rPr>
              <w:t>.</w:t>
            </w:r>
            <w:r>
              <w:rPr>
                <w:rFonts w:ascii="Trebuchet MS" w:eastAsia="Times New Roman" w:hAnsi="Trebuchet MS" w:cs="Calibri"/>
                <w:color w:val="000000"/>
                <w:sz w:val="18"/>
                <w:szCs w:val="18"/>
              </w:rPr>
              <w:t>64</w:t>
            </w:r>
            <w:r w:rsidR="00FD03BB" w:rsidRPr="00FD03BB">
              <w:rPr>
                <w:rFonts w:ascii="Trebuchet MS" w:eastAsia="Times New Roman" w:hAnsi="Trebuchet MS" w:cs="Calibri"/>
                <w:color w:val="000000"/>
                <w:sz w:val="18"/>
                <w:szCs w:val="18"/>
              </w:rPr>
              <w:t>%</w:t>
            </w:r>
          </w:p>
        </w:tc>
      </w:tr>
      <w:tr w:rsidR="00FD03BB" w:rsidRPr="00FD03BB" w14:paraId="7221E9C9" w14:textId="77777777" w:rsidTr="00633367">
        <w:trPr>
          <w:trHeight w:val="300"/>
        </w:trPr>
        <w:tc>
          <w:tcPr>
            <w:tcW w:w="5580" w:type="dxa"/>
            <w:tcBorders>
              <w:top w:val="nil"/>
              <w:left w:val="single" w:sz="4" w:space="0" w:color="auto"/>
              <w:bottom w:val="single" w:sz="4" w:space="0" w:color="auto"/>
              <w:right w:val="single" w:sz="4" w:space="0" w:color="auto"/>
            </w:tcBorders>
            <w:shd w:val="clear" w:color="auto" w:fill="auto"/>
            <w:vAlign w:val="bottom"/>
            <w:hideMark/>
          </w:tcPr>
          <w:p w14:paraId="2718D78D" w14:textId="77777777" w:rsidR="00FD03BB" w:rsidRPr="00FD03BB" w:rsidRDefault="00FD03BB" w:rsidP="00FD03BB">
            <w:pPr>
              <w:spacing w:after="0" w:line="240" w:lineRule="auto"/>
              <w:rPr>
                <w:rFonts w:ascii="Trebuchet MS" w:eastAsia="Times New Roman" w:hAnsi="Trebuchet MS" w:cs="Calibri"/>
                <w:color w:val="000000"/>
                <w:sz w:val="18"/>
                <w:szCs w:val="18"/>
              </w:rPr>
            </w:pPr>
            <w:r w:rsidRPr="00FD03BB">
              <w:rPr>
                <w:rFonts w:ascii="Trebuchet MS" w:eastAsia="Times New Roman" w:hAnsi="Trebuchet MS" w:cs="Calibri"/>
                <w:color w:val="000000"/>
                <w:sz w:val="18"/>
                <w:szCs w:val="18"/>
              </w:rPr>
              <w:t xml:space="preserve"> Commercial papers as a % of total liabilities </w:t>
            </w:r>
          </w:p>
        </w:tc>
        <w:tc>
          <w:tcPr>
            <w:tcW w:w="2335" w:type="dxa"/>
            <w:tcBorders>
              <w:top w:val="nil"/>
              <w:left w:val="nil"/>
              <w:bottom w:val="single" w:sz="4" w:space="0" w:color="auto"/>
              <w:right w:val="single" w:sz="4" w:space="0" w:color="auto"/>
            </w:tcBorders>
            <w:shd w:val="clear" w:color="auto" w:fill="auto"/>
            <w:noWrap/>
            <w:vAlign w:val="bottom"/>
            <w:hideMark/>
          </w:tcPr>
          <w:p w14:paraId="7F120A4B" w14:textId="57C3E687" w:rsidR="00FD03BB" w:rsidRPr="00FD03BB" w:rsidRDefault="001D4441" w:rsidP="00FD03BB">
            <w:pPr>
              <w:spacing w:after="0" w:line="240" w:lineRule="auto"/>
              <w:jc w:val="right"/>
              <w:rPr>
                <w:rFonts w:ascii="Trebuchet MS" w:eastAsia="Times New Roman" w:hAnsi="Trebuchet MS" w:cs="Calibri"/>
                <w:color w:val="000000"/>
                <w:sz w:val="18"/>
                <w:szCs w:val="18"/>
              </w:rPr>
            </w:pPr>
            <w:r>
              <w:rPr>
                <w:rFonts w:ascii="Trebuchet MS" w:eastAsia="Times New Roman" w:hAnsi="Trebuchet MS" w:cs="Calibri"/>
                <w:color w:val="000000"/>
                <w:sz w:val="18"/>
                <w:szCs w:val="18"/>
              </w:rPr>
              <w:t>8</w:t>
            </w:r>
            <w:r w:rsidR="00FD03BB" w:rsidRPr="00FD03BB">
              <w:rPr>
                <w:rFonts w:ascii="Trebuchet MS" w:eastAsia="Times New Roman" w:hAnsi="Trebuchet MS" w:cs="Calibri"/>
                <w:color w:val="000000"/>
                <w:sz w:val="18"/>
                <w:szCs w:val="18"/>
              </w:rPr>
              <w:t>.</w:t>
            </w:r>
            <w:r>
              <w:rPr>
                <w:rFonts w:ascii="Trebuchet MS" w:eastAsia="Times New Roman" w:hAnsi="Trebuchet MS" w:cs="Calibri"/>
                <w:color w:val="000000"/>
                <w:sz w:val="18"/>
                <w:szCs w:val="18"/>
              </w:rPr>
              <w:t>07</w:t>
            </w:r>
            <w:r w:rsidR="00FD03BB" w:rsidRPr="00FD03BB">
              <w:rPr>
                <w:rFonts w:ascii="Trebuchet MS" w:eastAsia="Times New Roman" w:hAnsi="Trebuchet MS" w:cs="Calibri"/>
                <w:color w:val="000000"/>
                <w:sz w:val="18"/>
                <w:szCs w:val="18"/>
              </w:rPr>
              <w:t>%</w:t>
            </w:r>
          </w:p>
        </w:tc>
      </w:tr>
      <w:tr w:rsidR="00FD03BB" w:rsidRPr="00FD03BB" w14:paraId="4C9DF697" w14:textId="77777777" w:rsidTr="00633367">
        <w:trPr>
          <w:trHeight w:val="300"/>
        </w:trPr>
        <w:tc>
          <w:tcPr>
            <w:tcW w:w="5580" w:type="dxa"/>
            <w:tcBorders>
              <w:top w:val="nil"/>
              <w:left w:val="single" w:sz="4" w:space="0" w:color="auto"/>
              <w:bottom w:val="single" w:sz="4" w:space="0" w:color="auto"/>
              <w:right w:val="single" w:sz="4" w:space="0" w:color="auto"/>
            </w:tcBorders>
            <w:shd w:val="clear" w:color="auto" w:fill="auto"/>
            <w:vAlign w:val="bottom"/>
            <w:hideMark/>
          </w:tcPr>
          <w:p w14:paraId="1A12BEAE" w14:textId="77777777" w:rsidR="00FD03BB" w:rsidRPr="00FD03BB" w:rsidRDefault="00FD03BB" w:rsidP="00FD03BB">
            <w:pPr>
              <w:spacing w:after="0" w:line="240" w:lineRule="auto"/>
              <w:rPr>
                <w:rFonts w:ascii="Trebuchet MS" w:eastAsia="Times New Roman" w:hAnsi="Trebuchet MS" w:cs="Calibri"/>
                <w:color w:val="000000"/>
                <w:sz w:val="18"/>
                <w:szCs w:val="18"/>
              </w:rPr>
            </w:pPr>
            <w:r w:rsidRPr="00FD03BB">
              <w:rPr>
                <w:rFonts w:ascii="Trebuchet MS" w:eastAsia="Times New Roman" w:hAnsi="Trebuchet MS" w:cs="Calibri"/>
                <w:color w:val="000000"/>
                <w:sz w:val="18"/>
                <w:szCs w:val="18"/>
              </w:rPr>
              <w:t xml:space="preserve"> Commercial papers as a % of total assets </w:t>
            </w:r>
          </w:p>
        </w:tc>
        <w:tc>
          <w:tcPr>
            <w:tcW w:w="2335" w:type="dxa"/>
            <w:tcBorders>
              <w:top w:val="nil"/>
              <w:left w:val="nil"/>
              <w:bottom w:val="single" w:sz="4" w:space="0" w:color="auto"/>
              <w:right w:val="single" w:sz="4" w:space="0" w:color="auto"/>
            </w:tcBorders>
            <w:shd w:val="clear" w:color="auto" w:fill="auto"/>
            <w:noWrap/>
            <w:vAlign w:val="bottom"/>
            <w:hideMark/>
          </w:tcPr>
          <w:p w14:paraId="5C29DA06" w14:textId="0DA34935" w:rsidR="00FD03BB" w:rsidRPr="00FD03BB" w:rsidRDefault="001D4441" w:rsidP="00FD03BB">
            <w:pPr>
              <w:spacing w:after="0" w:line="240" w:lineRule="auto"/>
              <w:jc w:val="right"/>
              <w:rPr>
                <w:rFonts w:ascii="Trebuchet MS" w:eastAsia="Times New Roman" w:hAnsi="Trebuchet MS" w:cs="Calibri"/>
                <w:color w:val="000000"/>
                <w:sz w:val="18"/>
                <w:szCs w:val="18"/>
              </w:rPr>
            </w:pPr>
            <w:r>
              <w:rPr>
                <w:rFonts w:ascii="Trebuchet MS" w:eastAsia="Times New Roman" w:hAnsi="Trebuchet MS" w:cs="Calibri"/>
                <w:color w:val="000000"/>
                <w:sz w:val="18"/>
                <w:szCs w:val="18"/>
              </w:rPr>
              <w:t>7</w:t>
            </w:r>
            <w:r w:rsidR="00FD03BB" w:rsidRPr="00FD03BB">
              <w:rPr>
                <w:rFonts w:ascii="Trebuchet MS" w:eastAsia="Times New Roman" w:hAnsi="Trebuchet MS" w:cs="Calibri"/>
                <w:color w:val="000000"/>
                <w:sz w:val="18"/>
                <w:szCs w:val="18"/>
              </w:rPr>
              <w:t>.0</w:t>
            </w:r>
            <w:r>
              <w:rPr>
                <w:rFonts w:ascii="Trebuchet MS" w:eastAsia="Times New Roman" w:hAnsi="Trebuchet MS" w:cs="Calibri"/>
                <w:color w:val="000000"/>
                <w:sz w:val="18"/>
                <w:szCs w:val="18"/>
              </w:rPr>
              <w:t>9</w:t>
            </w:r>
            <w:r w:rsidR="00FD03BB" w:rsidRPr="00FD03BB">
              <w:rPr>
                <w:rFonts w:ascii="Trebuchet MS" w:eastAsia="Times New Roman" w:hAnsi="Trebuchet MS" w:cs="Calibri"/>
                <w:color w:val="000000"/>
                <w:sz w:val="18"/>
                <w:szCs w:val="18"/>
              </w:rPr>
              <w:t>%</w:t>
            </w:r>
          </w:p>
        </w:tc>
      </w:tr>
      <w:tr w:rsidR="00FD03BB" w:rsidRPr="00FD03BB" w14:paraId="39A4FA11" w14:textId="77777777" w:rsidTr="00633367">
        <w:trPr>
          <w:trHeight w:val="600"/>
        </w:trPr>
        <w:tc>
          <w:tcPr>
            <w:tcW w:w="5580" w:type="dxa"/>
            <w:tcBorders>
              <w:top w:val="nil"/>
              <w:left w:val="single" w:sz="4" w:space="0" w:color="auto"/>
              <w:bottom w:val="single" w:sz="4" w:space="0" w:color="auto"/>
              <w:right w:val="single" w:sz="4" w:space="0" w:color="auto"/>
            </w:tcBorders>
            <w:shd w:val="clear" w:color="auto" w:fill="auto"/>
            <w:vAlign w:val="bottom"/>
            <w:hideMark/>
          </w:tcPr>
          <w:p w14:paraId="6309D399" w14:textId="77777777" w:rsidR="00FD03BB" w:rsidRPr="00FD03BB" w:rsidRDefault="00FD03BB" w:rsidP="00FD03BB">
            <w:pPr>
              <w:spacing w:after="0" w:line="240" w:lineRule="auto"/>
              <w:rPr>
                <w:rFonts w:ascii="Trebuchet MS" w:eastAsia="Times New Roman" w:hAnsi="Trebuchet MS" w:cs="Calibri"/>
                <w:color w:val="000000"/>
                <w:sz w:val="18"/>
                <w:szCs w:val="18"/>
              </w:rPr>
            </w:pPr>
            <w:r w:rsidRPr="00FD03BB">
              <w:rPr>
                <w:rFonts w:ascii="Trebuchet MS" w:eastAsia="Times New Roman" w:hAnsi="Trebuchet MS" w:cs="Calibri"/>
                <w:color w:val="000000"/>
                <w:sz w:val="18"/>
                <w:szCs w:val="18"/>
              </w:rPr>
              <w:t xml:space="preserve"> Non-convertible debentures (original maturity of less than one year) as a % of total public funds </w:t>
            </w:r>
          </w:p>
        </w:tc>
        <w:tc>
          <w:tcPr>
            <w:tcW w:w="2335" w:type="dxa"/>
            <w:tcBorders>
              <w:top w:val="nil"/>
              <w:left w:val="nil"/>
              <w:bottom w:val="single" w:sz="4" w:space="0" w:color="auto"/>
              <w:right w:val="single" w:sz="4" w:space="0" w:color="auto"/>
            </w:tcBorders>
            <w:shd w:val="clear" w:color="auto" w:fill="auto"/>
            <w:noWrap/>
            <w:vAlign w:val="bottom"/>
            <w:hideMark/>
          </w:tcPr>
          <w:p w14:paraId="0B077F22" w14:textId="77777777" w:rsidR="00FD03BB" w:rsidRPr="00FD03BB" w:rsidRDefault="00FD03BB" w:rsidP="00FD03BB">
            <w:pPr>
              <w:spacing w:after="0" w:line="240" w:lineRule="auto"/>
              <w:jc w:val="right"/>
              <w:rPr>
                <w:rFonts w:ascii="Trebuchet MS" w:eastAsia="Times New Roman" w:hAnsi="Trebuchet MS" w:cs="Calibri"/>
                <w:color w:val="000000"/>
                <w:sz w:val="18"/>
                <w:szCs w:val="18"/>
              </w:rPr>
            </w:pPr>
            <w:r w:rsidRPr="00FD03BB">
              <w:rPr>
                <w:rFonts w:ascii="Trebuchet MS" w:eastAsia="Times New Roman" w:hAnsi="Trebuchet MS" w:cs="Calibri"/>
                <w:color w:val="000000"/>
                <w:sz w:val="18"/>
                <w:szCs w:val="18"/>
              </w:rPr>
              <w:t>NA</w:t>
            </w:r>
          </w:p>
        </w:tc>
      </w:tr>
      <w:tr w:rsidR="00FD03BB" w:rsidRPr="00FD03BB" w14:paraId="086E8429" w14:textId="77777777" w:rsidTr="00633367">
        <w:trPr>
          <w:trHeight w:val="600"/>
        </w:trPr>
        <w:tc>
          <w:tcPr>
            <w:tcW w:w="5580" w:type="dxa"/>
            <w:tcBorders>
              <w:top w:val="nil"/>
              <w:left w:val="single" w:sz="4" w:space="0" w:color="auto"/>
              <w:bottom w:val="single" w:sz="4" w:space="0" w:color="auto"/>
              <w:right w:val="single" w:sz="4" w:space="0" w:color="auto"/>
            </w:tcBorders>
            <w:shd w:val="clear" w:color="auto" w:fill="auto"/>
            <w:vAlign w:val="bottom"/>
            <w:hideMark/>
          </w:tcPr>
          <w:p w14:paraId="091A394B" w14:textId="77777777" w:rsidR="00FD03BB" w:rsidRPr="00FD03BB" w:rsidRDefault="00FD03BB" w:rsidP="00FD03BB">
            <w:pPr>
              <w:spacing w:after="0" w:line="240" w:lineRule="auto"/>
              <w:rPr>
                <w:rFonts w:ascii="Trebuchet MS" w:eastAsia="Times New Roman" w:hAnsi="Trebuchet MS" w:cs="Calibri"/>
                <w:color w:val="000000"/>
                <w:sz w:val="18"/>
                <w:szCs w:val="18"/>
              </w:rPr>
            </w:pPr>
            <w:r w:rsidRPr="00FD03BB">
              <w:rPr>
                <w:rFonts w:ascii="Trebuchet MS" w:eastAsia="Times New Roman" w:hAnsi="Trebuchet MS" w:cs="Calibri"/>
                <w:color w:val="000000"/>
                <w:sz w:val="18"/>
                <w:szCs w:val="18"/>
              </w:rPr>
              <w:t xml:space="preserve"> Non-convertible debentures (original maturity of less than one year) as a % of total liabilities </w:t>
            </w:r>
          </w:p>
        </w:tc>
        <w:tc>
          <w:tcPr>
            <w:tcW w:w="2335" w:type="dxa"/>
            <w:tcBorders>
              <w:top w:val="nil"/>
              <w:left w:val="nil"/>
              <w:bottom w:val="single" w:sz="4" w:space="0" w:color="auto"/>
              <w:right w:val="single" w:sz="4" w:space="0" w:color="auto"/>
            </w:tcBorders>
            <w:shd w:val="clear" w:color="auto" w:fill="auto"/>
            <w:noWrap/>
            <w:vAlign w:val="bottom"/>
            <w:hideMark/>
          </w:tcPr>
          <w:p w14:paraId="4E14A0ED" w14:textId="77777777" w:rsidR="00FD03BB" w:rsidRPr="00FD03BB" w:rsidRDefault="00FD03BB" w:rsidP="00FD03BB">
            <w:pPr>
              <w:spacing w:after="0" w:line="240" w:lineRule="auto"/>
              <w:jc w:val="right"/>
              <w:rPr>
                <w:rFonts w:ascii="Trebuchet MS" w:eastAsia="Times New Roman" w:hAnsi="Trebuchet MS" w:cs="Calibri"/>
                <w:color w:val="000000"/>
                <w:sz w:val="18"/>
                <w:szCs w:val="18"/>
              </w:rPr>
            </w:pPr>
            <w:r w:rsidRPr="00FD03BB">
              <w:rPr>
                <w:rFonts w:ascii="Trebuchet MS" w:eastAsia="Times New Roman" w:hAnsi="Trebuchet MS" w:cs="Calibri"/>
                <w:color w:val="000000"/>
                <w:sz w:val="18"/>
                <w:szCs w:val="18"/>
              </w:rPr>
              <w:t>NA</w:t>
            </w:r>
          </w:p>
        </w:tc>
      </w:tr>
      <w:tr w:rsidR="00FD03BB" w:rsidRPr="00FD03BB" w14:paraId="7147321D" w14:textId="77777777" w:rsidTr="00633367">
        <w:trPr>
          <w:trHeight w:val="600"/>
        </w:trPr>
        <w:tc>
          <w:tcPr>
            <w:tcW w:w="5580" w:type="dxa"/>
            <w:tcBorders>
              <w:top w:val="nil"/>
              <w:left w:val="single" w:sz="4" w:space="0" w:color="auto"/>
              <w:bottom w:val="single" w:sz="4" w:space="0" w:color="auto"/>
              <w:right w:val="single" w:sz="4" w:space="0" w:color="auto"/>
            </w:tcBorders>
            <w:shd w:val="clear" w:color="auto" w:fill="auto"/>
            <w:vAlign w:val="bottom"/>
            <w:hideMark/>
          </w:tcPr>
          <w:p w14:paraId="12D0C721" w14:textId="77777777" w:rsidR="00FD03BB" w:rsidRPr="00FD03BB" w:rsidRDefault="00FD03BB" w:rsidP="00FD03BB">
            <w:pPr>
              <w:spacing w:after="0" w:line="240" w:lineRule="auto"/>
              <w:rPr>
                <w:rFonts w:ascii="Trebuchet MS" w:eastAsia="Times New Roman" w:hAnsi="Trebuchet MS" w:cs="Calibri"/>
                <w:color w:val="000000"/>
                <w:sz w:val="18"/>
                <w:szCs w:val="18"/>
              </w:rPr>
            </w:pPr>
            <w:r w:rsidRPr="00FD03BB">
              <w:rPr>
                <w:rFonts w:ascii="Trebuchet MS" w:eastAsia="Times New Roman" w:hAnsi="Trebuchet MS" w:cs="Calibri"/>
                <w:color w:val="000000"/>
                <w:sz w:val="18"/>
                <w:szCs w:val="18"/>
              </w:rPr>
              <w:t xml:space="preserve"> Non-convertible debentures (original maturity of less than one year) as a % of total assets </w:t>
            </w:r>
          </w:p>
        </w:tc>
        <w:tc>
          <w:tcPr>
            <w:tcW w:w="2335" w:type="dxa"/>
            <w:tcBorders>
              <w:top w:val="nil"/>
              <w:left w:val="nil"/>
              <w:bottom w:val="single" w:sz="4" w:space="0" w:color="auto"/>
              <w:right w:val="single" w:sz="4" w:space="0" w:color="auto"/>
            </w:tcBorders>
            <w:shd w:val="clear" w:color="auto" w:fill="auto"/>
            <w:noWrap/>
            <w:vAlign w:val="bottom"/>
            <w:hideMark/>
          </w:tcPr>
          <w:p w14:paraId="6E73F33C" w14:textId="77777777" w:rsidR="00FD03BB" w:rsidRPr="00FD03BB" w:rsidRDefault="00FD03BB" w:rsidP="00FD03BB">
            <w:pPr>
              <w:spacing w:after="0" w:line="240" w:lineRule="auto"/>
              <w:jc w:val="right"/>
              <w:rPr>
                <w:rFonts w:ascii="Trebuchet MS" w:eastAsia="Times New Roman" w:hAnsi="Trebuchet MS" w:cs="Calibri"/>
                <w:color w:val="000000"/>
                <w:sz w:val="18"/>
                <w:szCs w:val="18"/>
              </w:rPr>
            </w:pPr>
            <w:r w:rsidRPr="00FD03BB">
              <w:rPr>
                <w:rFonts w:ascii="Trebuchet MS" w:eastAsia="Times New Roman" w:hAnsi="Trebuchet MS" w:cs="Calibri"/>
                <w:color w:val="000000"/>
                <w:sz w:val="18"/>
                <w:szCs w:val="18"/>
              </w:rPr>
              <w:t>NA</w:t>
            </w:r>
          </w:p>
        </w:tc>
      </w:tr>
      <w:tr w:rsidR="00FD03BB" w:rsidRPr="00FD03BB" w14:paraId="48A3EB44" w14:textId="77777777" w:rsidTr="00633367">
        <w:trPr>
          <w:trHeight w:val="300"/>
        </w:trPr>
        <w:tc>
          <w:tcPr>
            <w:tcW w:w="5580" w:type="dxa"/>
            <w:tcBorders>
              <w:top w:val="nil"/>
              <w:left w:val="single" w:sz="4" w:space="0" w:color="auto"/>
              <w:bottom w:val="single" w:sz="4" w:space="0" w:color="auto"/>
              <w:right w:val="single" w:sz="4" w:space="0" w:color="auto"/>
            </w:tcBorders>
            <w:shd w:val="clear" w:color="auto" w:fill="auto"/>
            <w:vAlign w:val="bottom"/>
            <w:hideMark/>
          </w:tcPr>
          <w:p w14:paraId="535A8356" w14:textId="77777777" w:rsidR="00FD03BB" w:rsidRPr="00FD03BB" w:rsidRDefault="00FD03BB" w:rsidP="00FD03BB">
            <w:pPr>
              <w:spacing w:after="0" w:line="240" w:lineRule="auto"/>
              <w:rPr>
                <w:rFonts w:ascii="Trebuchet MS" w:eastAsia="Times New Roman" w:hAnsi="Trebuchet MS" w:cs="Calibri"/>
                <w:color w:val="000000"/>
                <w:sz w:val="18"/>
                <w:szCs w:val="18"/>
              </w:rPr>
            </w:pPr>
            <w:r w:rsidRPr="00FD03BB">
              <w:rPr>
                <w:rFonts w:ascii="Trebuchet MS" w:eastAsia="Times New Roman" w:hAnsi="Trebuchet MS" w:cs="Calibri"/>
                <w:color w:val="000000"/>
                <w:sz w:val="18"/>
                <w:szCs w:val="18"/>
              </w:rPr>
              <w:t xml:space="preserve"> Other short- term Liabilities as a % of total public funds </w:t>
            </w:r>
          </w:p>
        </w:tc>
        <w:tc>
          <w:tcPr>
            <w:tcW w:w="2335" w:type="dxa"/>
            <w:tcBorders>
              <w:top w:val="nil"/>
              <w:left w:val="nil"/>
              <w:bottom w:val="single" w:sz="4" w:space="0" w:color="auto"/>
              <w:right w:val="single" w:sz="4" w:space="0" w:color="auto"/>
            </w:tcBorders>
            <w:shd w:val="clear" w:color="auto" w:fill="auto"/>
            <w:noWrap/>
            <w:vAlign w:val="bottom"/>
            <w:hideMark/>
          </w:tcPr>
          <w:p w14:paraId="526D5D5F" w14:textId="262F53D6" w:rsidR="00FD03BB" w:rsidRPr="00FD03BB" w:rsidRDefault="00FD03BB" w:rsidP="00FD03BB">
            <w:pPr>
              <w:spacing w:after="0" w:line="240" w:lineRule="auto"/>
              <w:jc w:val="right"/>
              <w:rPr>
                <w:rFonts w:ascii="Trebuchet MS" w:eastAsia="Times New Roman" w:hAnsi="Trebuchet MS" w:cs="Calibri"/>
                <w:color w:val="000000"/>
                <w:sz w:val="18"/>
                <w:szCs w:val="18"/>
              </w:rPr>
            </w:pPr>
            <w:r w:rsidRPr="00FD03BB">
              <w:rPr>
                <w:rFonts w:ascii="Trebuchet MS" w:eastAsia="Times New Roman" w:hAnsi="Trebuchet MS" w:cs="Calibri"/>
                <w:color w:val="000000"/>
                <w:sz w:val="18"/>
                <w:szCs w:val="18"/>
              </w:rPr>
              <w:t>4</w:t>
            </w:r>
            <w:r w:rsidR="001D4441">
              <w:rPr>
                <w:rFonts w:ascii="Trebuchet MS" w:eastAsia="Times New Roman" w:hAnsi="Trebuchet MS" w:cs="Calibri"/>
                <w:color w:val="000000"/>
                <w:sz w:val="18"/>
                <w:szCs w:val="18"/>
              </w:rPr>
              <w:t>8</w:t>
            </w:r>
            <w:r w:rsidRPr="00FD03BB">
              <w:rPr>
                <w:rFonts w:ascii="Trebuchet MS" w:eastAsia="Times New Roman" w:hAnsi="Trebuchet MS" w:cs="Calibri"/>
                <w:color w:val="000000"/>
                <w:sz w:val="18"/>
                <w:szCs w:val="18"/>
              </w:rPr>
              <w:t>.</w:t>
            </w:r>
            <w:r w:rsidR="001D4441">
              <w:rPr>
                <w:rFonts w:ascii="Trebuchet MS" w:eastAsia="Times New Roman" w:hAnsi="Trebuchet MS" w:cs="Calibri"/>
                <w:color w:val="000000"/>
                <w:sz w:val="18"/>
                <w:szCs w:val="18"/>
              </w:rPr>
              <w:t>34</w:t>
            </w:r>
            <w:r w:rsidRPr="00FD03BB">
              <w:rPr>
                <w:rFonts w:ascii="Trebuchet MS" w:eastAsia="Times New Roman" w:hAnsi="Trebuchet MS" w:cs="Calibri"/>
                <w:color w:val="000000"/>
                <w:sz w:val="18"/>
                <w:szCs w:val="18"/>
              </w:rPr>
              <w:t>%</w:t>
            </w:r>
          </w:p>
        </w:tc>
      </w:tr>
      <w:tr w:rsidR="00FD03BB" w:rsidRPr="00FD03BB" w14:paraId="2372B89A" w14:textId="77777777" w:rsidTr="00633367">
        <w:trPr>
          <w:trHeight w:val="300"/>
        </w:trPr>
        <w:tc>
          <w:tcPr>
            <w:tcW w:w="5580" w:type="dxa"/>
            <w:tcBorders>
              <w:top w:val="nil"/>
              <w:left w:val="single" w:sz="4" w:space="0" w:color="auto"/>
              <w:bottom w:val="single" w:sz="4" w:space="0" w:color="auto"/>
              <w:right w:val="single" w:sz="4" w:space="0" w:color="auto"/>
            </w:tcBorders>
            <w:shd w:val="clear" w:color="auto" w:fill="auto"/>
            <w:vAlign w:val="bottom"/>
            <w:hideMark/>
          </w:tcPr>
          <w:p w14:paraId="53855CCE" w14:textId="77777777" w:rsidR="00FD03BB" w:rsidRPr="00FD03BB" w:rsidRDefault="00FD03BB" w:rsidP="00FD03BB">
            <w:pPr>
              <w:spacing w:after="0" w:line="240" w:lineRule="auto"/>
              <w:rPr>
                <w:rFonts w:ascii="Trebuchet MS" w:eastAsia="Times New Roman" w:hAnsi="Trebuchet MS" w:cs="Calibri"/>
                <w:color w:val="000000"/>
                <w:sz w:val="18"/>
                <w:szCs w:val="18"/>
              </w:rPr>
            </w:pPr>
            <w:r w:rsidRPr="00FD03BB">
              <w:rPr>
                <w:rFonts w:ascii="Trebuchet MS" w:eastAsia="Times New Roman" w:hAnsi="Trebuchet MS" w:cs="Calibri"/>
                <w:color w:val="000000"/>
                <w:sz w:val="18"/>
                <w:szCs w:val="18"/>
              </w:rPr>
              <w:t xml:space="preserve"> Other short- term Liabilities as a % of total liabilities </w:t>
            </w:r>
          </w:p>
        </w:tc>
        <w:tc>
          <w:tcPr>
            <w:tcW w:w="2335" w:type="dxa"/>
            <w:tcBorders>
              <w:top w:val="nil"/>
              <w:left w:val="nil"/>
              <w:bottom w:val="single" w:sz="4" w:space="0" w:color="auto"/>
              <w:right w:val="single" w:sz="4" w:space="0" w:color="auto"/>
            </w:tcBorders>
            <w:shd w:val="clear" w:color="auto" w:fill="auto"/>
            <w:noWrap/>
            <w:vAlign w:val="bottom"/>
            <w:hideMark/>
          </w:tcPr>
          <w:p w14:paraId="3E462127" w14:textId="6C186101" w:rsidR="00FD03BB" w:rsidRPr="00FD03BB" w:rsidRDefault="00FD03BB" w:rsidP="00FD03BB">
            <w:pPr>
              <w:spacing w:after="0" w:line="240" w:lineRule="auto"/>
              <w:jc w:val="right"/>
              <w:rPr>
                <w:rFonts w:ascii="Trebuchet MS" w:eastAsia="Times New Roman" w:hAnsi="Trebuchet MS" w:cs="Calibri"/>
                <w:color w:val="000000"/>
                <w:sz w:val="18"/>
                <w:szCs w:val="18"/>
              </w:rPr>
            </w:pPr>
            <w:r w:rsidRPr="00FD03BB">
              <w:rPr>
                <w:rFonts w:ascii="Trebuchet MS" w:eastAsia="Times New Roman" w:hAnsi="Trebuchet MS" w:cs="Calibri"/>
                <w:color w:val="000000"/>
                <w:sz w:val="18"/>
                <w:szCs w:val="18"/>
              </w:rPr>
              <w:t>4</w:t>
            </w:r>
            <w:r w:rsidR="001D4441">
              <w:rPr>
                <w:rFonts w:ascii="Trebuchet MS" w:eastAsia="Times New Roman" w:hAnsi="Trebuchet MS" w:cs="Calibri"/>
                <w:color w:val="000000"/>
                <w:sz w:val="18"/>
                <w:szCs w:val="18"/>
              </w:rPr>
              <w:t>5</w:t>
            </w:r>
            <w:r w:rsidRPr="00FD03BB">
              <w:rPr>
                <w:rFonts w:ascii="Trebuchet MS" w:eastAsia="Times New Roman" w:hAnsi="Trebuchet MS" w:cs="Calibri"/>
                <w:color w:val="000000"/>
                <w:sz w:val="18"/>
                <w:szCs w:val="18"/>
              </w:rPr>
              <w:t>.</w:t>
            </w:r>
            <w:r w:rsidR="001D4441">
              <w:rPr>
                <w:rFonts w:ascii="Trebuchet MS" w:eastAsia="Times New Roman" w:hAnsi="Trebuchet MS" w:cs="Calibri"/>
                <w:color w:val="000000"/>
                <w:sz w:val="18"/>
                <w:szCs w:val="18"/>
              </w:rPr>
              <w:t>1</w:t>
            </w:r>
            <w:r w:rsidRPr="00FD03BB">
              <w:rPr>
                <w:rFonts w:ascii="Trebuchet MS" w:eastAsia="Times New Roman" w:hAnsi="Trebuchet MS" w:cs="Calibri"/>
                <w:color w:val="000000"/>
                <w:sz w:val="18"/>
                <w:szCs w:val="18"/>
              </w:rPr>
              <w:t>7%</w:t>
            </w:r>
          </w:p>
        </w:tc>
      </w:tr>
      <w:tr w:rsidR="00FD03BB" w:rsidRPr="00FD03BB" w14:paraId="1CF25099" w14:textId="77777777" w:rsidTr="00633367">
        <w:trPr>
          <w:trHeight w:val="300"/>
        </w:trPr>
        <w:tc>
          <w:tcPr>
            <w:tcW w:w="5580" w:type="dxa"/>
            <w:tcBorders>
              <w:top w:val="nil"/>
              <w:left w:val="single" w:sz="4" w:space="0" w:color="auto"/>
              <w:bottom w:val="single" w:sz="4" w:space="0" w:color="auto"/>
              <w:right w:val="single" w:sz="4" w:space="0" w:color="auto"/>
            </w:tcBorders>
            <w:shd w:val="clear" w:color="auto" w:fill="auto"/>
            <w:vAlign w:val="bottom"/>
            <w:hideMark/>
          </w:tcPr>
          <w:p w14:paraId="0320A0D9" w14:textId="77777777" w:rsidR="00FD03BB" w:rsidRPr="00FD03BB" w:rsidRDefault="00FD03BB" w:rsidP="00FD03BB">
            <w:pPr>
              <w:spacing w:after="0" w:line="240" w:lineRule="auto"/>
              <w:rPr>
                <w:rFonts w:ascii="Trebuchet MS" w:eastAsia="Times New Roman" w:hAnsi="Trebuchet MS" w:cs="Calibri"/>
                <w:color w:val="000000"/>
                <w:sz w:val="18"/>
                <w:szCs w:val="18"/>
              </w:rPr>
            </w:pPr>
            <w:r w:rsidRPr="00FD03BB">
              <w:rPr>
                <w:rFonts w:ascii="Trebuchet MS" w:eastAsia="Times New Roman" w:hAnsi="Trebuchet MS" w:cs="Calibri"/>
                <w:color w:val="000000"/>
                <w:sz w:val="18"/>
                <w:szCs w:val="18"/>
              </w:rPr>
              <w:t xml:space="preserve"> Other short- term Liabilities as a % of total assets </w:t>
            </w:r>
          </w:p>
        </w:tc>
        <w:tc>
          <w:tcPr>
            <w:tcW w:w="2335" w:type="dxa"/>
            <w:tcBorders>
              <w:top w:val="nil"/>
              <w:left w:val="nil"/>
              <w:bottom w:val="single" w:sz="4" w:space="0" w:color="auto"/>
              <w:right w:val="single" w:sz="4" w:space="0" w:color="auto"/>
            </w:tcBorders>
            <w:shd w:val="clear" w:color="auto" w:fill="auto"/>
            <w:noWrap/>
            <w:vAlign w:val="bottom"/>
            <w:hideMark/>
          </w:tcPr>
          <w:p w14:paraId="15C76174" w14:textId="218D25F6" w:rsidR="00FD03BB" w:rsidRPr="00FD03BB" w:rsidRDefault="00FD03BB" w:rsidP="00FD03BB">
            <w:pPr>
              <w:spacing w:after="0" w:line="240" w:lineRule="auto"/>
              <w:jc w:val="right"/>
              <w:rPr>
                <w:rFonts w:ascii="Trebuchet MS" w:eastAsia="Times New Roman" w:hAnsi="Trebuchet MS" w:cs="Calibri"/>
                <w:color w:val="000000"/>
                <w:sz w:val="18"/>
                <w:szCs w:val="18"/>
              </w:rPr>
            </w:pPr>
            <w:r w:rsidRPr="00FD03BB">
              <w:rPr>
                <w:rFonts w:ascii="Trebuchet MS" w:eastAsia="Times New Roman" w:hAnsi="Trebuchet MS" w:cs="Calibri"/>
                <w:color w:val="000000"/>
                <w:sz w:val="18"/>
                <w:szCs w:val="18"/>
              </w:rPr>
              <w:t>3</w:t>
            </w:r>
            <w:r w:rsidR="001D4441">
              <w:rPr>
                <w:rFonts w:ascii="Trebuchet MS" w:eastAsia="Times New Roman" w:hAnsi="Trebuchet MS" w:cs="Calibri"/>
                <w:color w:val="000000"/>
                <w:sz w:val="18"/>
                <w:szCs w:val="18"/>
              </w:rPr>
              <w:t>9</w:t>
            </w:r>
            <w:r w:rsidRPr="00FD03BB">
              <w:rPr>
                <w:rFonts w:ascii="Trebuchet MS" w:eastAsia="Times New Roman" w:hAnsi="Trebuchet MS" w:cs="Calibri"/>
                <w:color w:val="000000"/>
                <w:sz w:val="18"/>
                <w:szCs w:val="18"/>
              </w:rPr>
              <w:t>.</w:t>
            </w:r>
            <w:r w:rsidR="001D4441">
              <w:rPr>
                <w:rFonts w:ascii="Trebuchet MS" w:eastAsia="Times New Roman" w:hAnsi="Trebuchet MS" w:cs="Calibri"/>
                <w:color w:val="000000"/>
                <w:sz w:val="18"/>
                <w:szCs w:val="18"/>
              </w:rPr>
              <w:t>65</w:t>
            </w:r>
            <w:r w:rsidRPr="00FD03BB">
              <w:rPr>
                <w:rFonts w:ascii="Trebuchet MS" w:eastAsia="Times New Roman" w:hAnsi="Trebuchet MS" w:cs="Calibri"/>
                <w:color w:val="000000"/>
                <w:sz w:val="18"/>
                <w:szCs w:val="18"/>
              </w:rPr>
              <w:t>%</w:t>
            </w:r>
          </w:p>
        </w:tc>
      </w:tr>
    </w:tbl>
    <w:p w14:paraId="6E3B6D97" w14:textId="28B3D785" w:rsidR="00411FF5" w:rsidRDefault="00411FF5" w:rsidP="00411FF5">
      <w:pPr>
        <w:rPr>
          <w:rFonts w:cstheme="minorHAnsi"/>
          <w:b/>
        </w:rPr>
      </w:pPr>
    </w:p>
    <w:p w14:paraId="32BF7C24" w14:textId="77777777" w:rsidR="00813229" w:rsidRPr="009D53DA" w:rsidRDefault="00813229" w:rsidP="0068484C">
      <w:pPr>
        <w:jc w:val="both"/>
        <w:rPr>
          <w:rFonts w:cstheme="minorHAnsi"/>
          <w:sz w:val="18"/>
          <w:szCs w:val="18"/>
        </w:rPr>
      </w:pPr>
      <w:r w:rsidRPr="009D53DA">
        <w:rPr>
          <w:rFonts w:cstheme="minorHAnsi"/>
          <w:sz w:val="14"/>
          <w:szCs w:val="14"/>
        </w:rPr>
        <w:t xml:space="preserve">* </w:t>
      </w:r>
      <w:r w:rsidRPr="009D53DA">
        <w:rPr>
          <w:rFonts w:cstheme="minorHAnsi"/>
          <w:sz w:val="18"/>
          <w:szCs w:val="18"/>
        </w:rPr>
        <w:t>Other Short-term Liabilities is computed as current maturities of long-term debt, short-term bank borrowings including outstanding CC/WCDL and other short-term liabilities has been considered, but excludes commercial paper and Non-convertible debentures (original maturity of less than one year).</w:t>
      </w:r>
    </w:p>
    <w:p w14:paraId="5AE12199" w14:textId="77777777" w:rsidR="00813229" w:rsidRPr="009D53DA" w:rsidRDefault="00813229" w:rsidP="0068484C">
      <w:pPr>
        <w:jc w:val="both"/>
        <w:rPr>
          <w:rFonts w:cstheme="minorHAnsi"/>
          <w:sz w:val="18"/>
          <w:szCs w:val="18"/>
        </w:rPr>
      </w:pPr>
      <w:r w:rsidRPr="009D53DA">
        <w:rPr>
          <w:rFonts w:cstheme="minorHAnsi"/>
          <w:sz w:val="18"/>
          <w:szCs w:val="18"/>
        </w:rPr>
        <w:t>* Public funds are as defined in Master Direction - Non-Banking Financial Company – Systemically Important Non-Deposit taking Company and Deposit taking Company (Reserve Bank) Direction, 2016.</w:t>
      </w:r>
    </w:p>
    <w:p w14:paraId="007B1E07" w14:textId="491BF887" w:rsidR="00411FF5" w:rsidRDefault="00F54598" w:rsidP="00813229">
      <w:pPr>
        <w:spacing w:after="0" w:line="240" w:lineRule="auto"/>
        <w:rPr>
          <w:rFonts w:eastAsia="Times New Roman" w:cstheme="minorHAnsi"/>
          <w:b/>
          <w:bCs/>
          <w:i/>
          <w:iCs/>
          <w:u w:val="single"/>
        </w:rPr>
      </w:pPr>
      <w:r>
        <w:rPr>
          <w:rFonts w:eastAsia="Times New Roman" w:cstheme="minorHAnsi"/>
          <w:b/>
          <w:bCs/>
          <w:i/>
          <w:iCs/>
          <w:u w:val="single"/>
        </w:rPr>
        <w:t>(v</w:t>
      </w:r>
      <w:r w:rsidR="00813229">
        <w:rPr>
          <w:rFonts w:eastAsia="Times New Roman" w:cstheme="minorHAnsi"/>
          <w:b/>
          <w:bCs/>
          <w:i/>
          <w:iCs/>
          <w:u w:val="single"/>
        </w:rPr>
        <w:t>i</w:t>
      </w:r>
      <w:r w:rsidR="00411FF5" w:rsidRPr="00EA3343">
        <w:rPr>
          <w:rFonts w:eastAsia="Times New Roman" w:cstheme="minorHAnsi"/>
          <w:b/>
          <w:bCs/>
          <w:i/>
          <w:iCs/>
          <w:u w:val="single"/>
        </w:rPr>
        <w:t>) Institutional set-up for liquidity risk management</w:t>
      </w:r>
    </w:p>
    <w:p w14:paraId="6986AE77" w14:textId="77777777" w:rsidR="00813229" w:rsidRPr="00813229" w:rsidRDefault="00813229" w:rsidP="00813229">
      <w:pPr>
        <w:spacing w:after="0" w:line="240" w:lineRule="auto"/>
        <w:rPr>
          <w:rFonts w:eastAsia="Times New Roman" w:cstheme="minorHAnsi"/>
          <w:b/>
          <w:bCs/>
          <w:i/>
          <w:iCs/>
          <w:u w:val="single"/>
        </w:rPr>
      </w:pPr>
    </w:p>
    <w:p w14:paraId="2D407035" w14:textId="62891D05" w:rsidR="00122DE2" w:rsidRDefault="004B0096" w:rsidP="00122DE2">
      <w:pPr>
        <w:pStyle w:val="Heading4Tahoma"/>
        <w:numPr>
          <w:ilvl w:val="0"/>
          <w:numId w:val="0"/>
        </w:numPr>
        <w:spacing w:before="0" w:line="240" w:lineRule="auto"/>
        <w:rPr>
          <w:rFonts w:ascii="Calibri" w:hAnsi="Calibri" w:cs="Calibri"/>
          <w:sz w:val="22"/>
          <w:szCs w:val="22"/>
        </w:rPr>
      </w:pPr>
      <w:r w:rsidRPr="004B0096">
        <w:rPr>
          <w:rFonts w:ascii="Calibri" w:hAnsi="Calibri" w:cs="Calibri"/>
          <w:sz w:val="22"/>
          <w:szCs w:val="22"/>
        </w:rPr>
        <w:t>The Company constituted an Asset Liability management committee as guideline issued by RBI to NBFCs. ALCO consists of members having requisite skill set and expertise of the business &amp; sector of the Company. ALCO monitors asset liability mismatches to ensure that there are no excessive imbalances on either side of the balance sheet and also reviews Asset Liability Management strategy. The borrowing strategy of the Company has always been in tandem with assets composition with appropriate consideration for mitigation of interest rate and liquidity risk. The Asset Liability Committee constantly reviews and monitors the funding mix and ensures the optimum mix of funds based on the cash flow requirements, market conditions and keeping the interest rate view in consideration. The company has put in place robust processes to monitor and manage liquidity risks. ALCO supervises the liquidity management of the Company at regular intervals.</w:t>
      </w:r>
    </w:p>
    <w:p w14:paraId="2FBAD3E7" w14:textId="77777777" w:rsidR="00122DE2" w:rsidRDefault="00122DE2" w:rsidP="00122DE2">
      <w:pPr>
        <w:pStyle w:val="Heading4Tahoma"/>
        <w:numPr>
          <w:ilvl w:val="0"/>
          <w:numId w:val="0"/>
        </w:numPr>
        <w:spacing w:before="0" w:line="240" w:lineRule="auto"/>
        <w:rPr>
          <w:rFonts w:cstheme="minorHAnsi"/>
          <w:b/>
        </w:rPr>
      </w:pPr>
    </w:p>
    <w:p w14:paraId="051CE0E4" w14:textId="31DFEA78" w:rsidR="004B0096" w:rsidRPr="004B0096" w:rsidRDefault="004B0096" w:rsidP="00122DE2">
      <w:pPr>
        <w:pStyle w:val="Heading4Tahoma"/>
        <w:numPr>
          <w:ilvl w:val="0"/>
          <w:numId w:val="0"/>
        </w:numPr>
        <w:spacing w:before="0" w:line="240" w:lineRule="auto"/>
        <w:rPr>
          <w:rFonts w:ascii="Calibri" w:hAnsi="Calibri" w:cs="Calibri"/>
          <w:sz w:val="22"/>
          <w:szCs w:val="22"/>
        </w:rPr>
      </w:pPr>
      <w:r w:rsidRPr="004B0096">
        <w:rPr>
          <w:rFonts w:ascii="Calibri" w:hAnsi="Calibri" w:cs="Calibri"/>
          <w:sz w:val="22"/>
          <w:szCs w:val="22"/>
        </w:rPr>
        <w:t>The Company has taken various initiatives to raise funds at the cost commensurate with its rating by way of diversified mix of borrowings with respect to the source, type of instrument, tenor and nature of security.</w:t>
      </w:r>
    </w:p>
    <w:p w14:paraId="484F3A82" w14:textId="4C4EA67B" w:rsidR="002934F2" w:rsidRPr="004B0096" w:rsidRDefault="002934F2" w:rsidP="00411FF5">
      <w:pPr>
        <w:rPr>
          <w:rFonts w:ascii="Calibri" w:eastAsia="Times New Roman" w:hAnsi="Calibri" w:cs="Calibri"/>
          <w:color w:val="000000"/>
        </w:rPr>
      </w:pPr>
    </w:p>
    <w:p w14:paraId="00559720" w14:textId="77777777" w:rsidR="00710BF1" w:rsidRDefault="00710BF1" w:rsidP="00411FF5">
      <w:pPr>
        <w:rPr>
          <w:rFonts w:cstheme="minorHAnsi"/>
          <w:b/>
        </w:rPr>
      </w:pPr>
    </w:p>
    <w:p w14:paraId="501505B3" w14:textId="77777777" w:rsidR="00620249" w:rsidRPr="00EA3343" w:rsidRDefault="00620249" w:rsidP="00411FF5">
      <w:pPr>
        <w:rPr>
          <w:rFonts w:cstheme="minorHAnsi"/>
          <w:b/>
        </w:rPr>
      </w:pPr>
    </w:p>
    <w:p w14:paraId="6FCD8803" w14:textId="77777777" w:rsidR="00D86B3F" w:rsidRPr="00EA3343" w:rsidRDefault="00D86B3F" w:rsidP="00D86B3F">
      <w:pPr>
        <w:spacing w:after="0" w:line="240" w:lineRule="auto"/>
        <w:rPr>
          <w:rFonts w:eastAsia="Times New Roman" w:cstheme="minorHAnsi"/>
          <w:b/>
          <w:bCs/>
          <w:i/>
          <w:iCs/>
          <w:u w:val="single"/>
        </w:rPr>
      </w:pPr>
      <w:r w:rsidRPr="00EA3343">
        <w:rPr>
          <w:rFonts w:eastAsia="Times New Roman" w:cstheme="minorHAnsi"/>
          <w:b/>
          <w:bCs/>
          <w:i/>
          <w:iCs/>
          <w:u w:val="single"/>
        </w:rPr>
        <w:lastRenderedPageBreak/>
        <w:t>(v</w:t>
      </w:r>
      <w:r>
        <w:rPr>
          <w:rFonts w:eastAsia="Times New Roman" w:cstheme="minorHAnsi"/>
          <w:b/>
          <w:bCs/>
          <w:i/>
          <w:iCs/>
          <w:u w:val="single"/>
        </w:rPr>
        <w:t>ii</w:t>
      </w:r>
      <w:r w:rsidRPr="00EA3343">
        <w:rPr>
          <w:rFonts w:eastAsia="Times New Roman" w:cstheme="minorHAnsi"/>
          <w:b/>
          <w:bCs/>
          <w:i/>
          <w:iCs/>
          <w:u w:val="single"/>
        </w:rPr>
        <w:t xml:space="preserve">) </w:t>
      </w:r>
      <w:r>
        <w:rPr>
          <w:rFonts w:eastAsia="Times New Roman" w:cstheme="minorHAnsi"/>
          <w:b/>
          <w:bCs/>
          <w:i/>
          <w:iCs/>
          <w:u w:val="single"/>
        </w:rPr>
        <w:t>Disclosure on Liquidity coverage rati</w:t>
      </w:r>
      <w:r w:rsidRPr="00EA3343">
        <w:rPr>
          <w:rFonts w:eastAsia="Times New Roman" w:cstheme="minorHAnsi"/>
          <w:b/>
          <w:bCs/>
          <w:i/>
          <w:iCs/>
          <w:u w:val="single"/>
        </w:rPr>
        <w:t>os:</w:t>
      </w:r>
    </w:p>
    <w:p w14:paraId="6AC94A18" w14:textId="1ECB8425" w:rsidR="00D86B3F" w:rsidRDefault="00D86B3F" w:rsidP="00C35F40">
      <w:pPr>
        <w:spacing w:after="0" w:line="240" w:lineRule="auto"/>
        <w:jc w:val="both"/>
        <w:rPr>
          <w:rFonts w:ascii="Calibri" w:eastAsia="Times New Roman" w:hAnsi="Calibri" w:cs="Calibri"/>
          <w:color w:val="000000"/>
        </w:rPr>
      </w:pPr>
      <w:r w:rsidRPr="00E542F4">
        <w:rPr>
          <w:rFonts w:ascii="Calibri" w:eastAsia="Times New Roman" w:hAnsi="Calibri" w:cs="Calibri"/>
          <w:color w:val="000000"/>
          <w:sz w:val="18"/>
          <w:szCs w:val="18"/>
        </w:rPr>
        <w:br/>
      </w:r>
      <w:r w:rsidR="00C35F40" w:rsidRPr="00C35F40">
        <w:rPr>
          <w:rFonts w:ascii="Calibri" w:eastAsia="Times New Roman" w:hAnsi="Calibri" w:cs="Calibri"/>
          <w:color w:val="000000"/>
        </w:rPr>
        <w:t>The Liquidity Coverage Ratio (LCR) is a key compliance requirement for NBFCs. Its objective is to ensure short-term resilience of the liquidity risk profile of the NBFCs by way of maintenance of adequate High Quality Liquid Assets (HQLA) to survive a significant financial/economic stress scenario lasting for thirty days period. The Company is maintaining adequate liquidity to manage its commitments. Additionally, the Company has unutilized sanctioned lines of credits from banks to meet liquidity needs.</w:t>
      </w:r>
    </w:p>
    <w:p w14:paraId="1090DB0E" w14:textId="77777777" w:rsidR="00C35F40" w:rsidRDefault="00C35F40" w:rsidP="00C35F40">
      <w:pPr>
        <w:spacing w:after="0" w:line="240" w:lineRule="auto"/>
        <w:jc w:val="both"/>
        <w:rPr>
          <w:rFonts w:ascii="Calibri" w:eastAsia="Times New Roman" w:hAnsi="Calibri" w:cs="Calibri"/>
          <w:color w:val="000000"/>
        </w:rPr>
      </w:pPr>
    </w:p>
    <w:p w14:paraId="7CE8D161" w14:textId="7A5CECCB" w:rsidR="00C35F40" w:rsidRDefault="00C35F40" w:rsidP="00C35F40">
      <w:pPr>
        <w:spacing w:after="0" w:line="240" w:lineRule="auto"/>
        <w:jc w:val="both"/>
        <w:rPr>
          <w:rFonts w:ascii="Calibri" w:eastAsia="Times New Roman" w:hAnsi="Calibri" w:cs="Calibri"/>
          <w:color w:val="000000"/>
        </w:rPr>
      </w:pPr>
      <w:r w:rsidRPr="00C35F40">
        <w:rPr>
          <w:rFonts w:ascii="Calibri" w:eastAsia="Times New Roman" w:hAnsi="Calibri" w:cs="Calibri"/>
          <w:color w:val="000000"/>
        </w:rPr>
        <w:t>In line with RBI regulations, the cash outflows and inflows have been stressed by 115% and 75% of their respective original values for computing LCR. The key drivers on the inflow side are the expected collections from the performing assets of the company and on the outflow side the scheduled maturities of borrowings. The High Quality Liquid Assets are entirely held in the assets, without any haircut. The LCR has been consistently maintained above 100% through the year which is well over the regulatory threshold of 70% (60 % upto November 30, 2022).</w:t>
      </w:r>
    </w:p>
    <w:p w14:paraId="00860BE5" w14:textId="77777777" w:rsidR="00D86B3F" w:rsidRDefault="00D86B3F" w:rsidP="00D86B3F">
      <w:pPr>
        <w:spacing w:after="0" w:line="240" w:lineRule="auto"/>
        <w:rPr>
          <w:rFonts w:ascii="Calibri" w:eastAsia="Times New Roman" w:hAnsi="Calibri" w:cs="Calibri"/>
          <w:color w:val="000000"/>
        </w:rPr>
      </w:pPr>
    </w:p>
    <w:tbl>
      <w:tblPr>
        <w:tblW w:w="10480" w:type="dxa"/>
        <w:tblInd w:w="-563" w:type="dxa"/>
        <w:tblLook w:val="04A0" w:firstRow="1" w:lastRow="0" w:firstColumn="1" w:lastColumn="0" w:noHBand="0" w:noVBand="1"/>
      </w:tblPr>
      <w:tblGrid>
        <w:gridCol w:w="452"/>
        <w:gridCol w:w="6508"/>
        <w:gridCol w:w="1680"/>
        <w:gridCol w:w="1840"/>
      </w:tblGrid>
      <w:tr w:rsidR="00C35F40" w:rsidRPr="00C35F40" w14:paraId="68ADEABF" w14:textId="77777777" w:rsidTr="00C35F40">
        <w:trPr>
          <w:trHeight w:val="240"/>
        </w:trPr>
        <w:tc>
          <w:tcPr>
            <w:tcW w:w="6960" w:type="dxa"/>
            <w:gridSpan w:val="2"/>
            <w:tcBorders>
              <w:top w:val="nil"/>
              <w:left w:val="nil"/>
              <w:bottom w:val="nil"/>
              <w:right w:val="nil"/>
            </w:tcBorders>
            <w:shd w:val="clear" w:color="auto" w:fill="auto"/>
            <w:noWrap/>
            <w:vAlign w:val="bottom"/>
            <w:hideMark/>
          </w:tcPr>
          <w:p w14:paraId="500A18F6"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Liquidity Coverage Ratio</w:t>
            </w:r>
          </w:p>
        </w:tc>
        <w:tc>
          <w:tcPr>
            <w:tcW w:w="1680" w:type="dxa"/>
            <w:tcBorders>
              <w:top w:val="nil"/>
              <w:left w:val="nil"/>
              <w:bottom w:val="nil"/>
              <w:right w:val="nil"/>
            </w:tcBorders>
            <w:shd w:val="clear" w:color="auto" w:fill="auto"/>
            <w:noWrap/>
            <w:vAlign w:val="bottom"/>
            <w:hideMark/>
          </w:tcPr>
          <w:p w14:paraId="2E6C62B2" w14:textId="77777777" w:rsidR="00C35F40" w:rsidRPr="00C35F40" w:rsidRDefault="00C35F40" w:rsidP="00C35F40">
            <w:pPr>
              <w:spacing w:after="0" w:line="240" w:lineRule="auto"/>
              <w:rPr>
                <w:rFonts w:ascii="Calibri" w:eastAsia="Times New Roman" w:hAnsi="Calibri" w:cs="Calibri"/>
                <w:b/>
                <w:bCs/>
                <w:color w:val="000000"/>
                <w:sz w:val="18"/>
                <w:szCs w:val="18"/>
              </w:rPr>
            </w:pPr>
          </w:p>
        </w:tc>
        <w:tc>
          <w:tcPr>
            <w:tcW w:w="1840" w:type="dxa"/>
            <w:tcBorders>
              <w:top w:val="nil"/>
              <w:left w:val="nil"/>
              <w:bottom w:val="nil"/>
              <w:right w:val="nil"/>
            </w:tcBorders>
            <w:shd w:val="clear" w:color="auto" w:fill="auto"/>
            <w:noWrap/>
            <w:vAlign w:val="bottom"/>
            <w:hideMark/>
          </w:tcPr>
          <w:p w14:paraId="0F130B87" w14:textId="77777777" w:rsidR="00C35F40" w:rsidRPr="00C35F40" w:rsidRDefault="00C35F40" w:rsidP="00C35F40">
            <w:pPr>
              <w:spacing w:after="0" w:line="240" w:lineRule="auto"/>
              <w:jc w:val="right"/>
              <w:rPr>
                <w:rFonts w:ascii="Calibri" w:eastAsia="Times New Roman" w:hAnsi="Calibri" w:cs="Calibri"/>
                <w:i/>
                <w:iCs/>
                <w:color w:val="000000"/>
                <w:sz w:val="18"/>
                <w:szCs w:val="18"/>
              </w:rPr>
            </w:pPr>
            <w:r w:rsidRPr="00C35F40">
              <w:rPr>
                <w:rFonts w:ascii="Calibri" w:eastAsia="Times New Roman" w:hAnsi="Calibri" w:cs="Calibri"/>
                <w:i/>
                <w:iCs/>
                <w:color w:val="000000"/>
                <w:sz w:val="18"/>
                <w:szCs w:val="18"/>
              </w:rPr>
              <w:t>(₹ in Crore)</w:t>
            </w:r>
          </w:p>
        </w:tc>
      </w:tr>
      <w:tr w:rsidR="00C35F40" w:rsidRPr="00C35F40" w14:paraId="3F6CD998" w14:textId="77777777" w:rsidTr="00C35F40">
        <w:trPr>
          <w:trHeight w:val="240"/>
        </w:trPr>
        <w:tc>
          <w:tcPr>
            <w:tcW w:w="452" w:type="dxa"/>
            <w:tcBorders>
              <w:top w:val="nil"/>
              <w:left w:val="nil"/>
              <w:bottom w:val="nil"/>
              <w:right w:val="nil"/>
            </w:tcBorders>
            <w:shd w:val="clear" w:color="auto" w:fill="auto"/>
            <w:noWrap/>
            <w:vAlign w:val="bottom"/>
            <w:hideMark/>
          </w:tcPr>
          <w:p w14:paraId="73137DC5" w14:textId="77777777" w:rsidR="00C35F40" w:rsidRPr="00C35F40" w:rsidRDefault="00C35F40" w:rsidP="00C35F40">
            <w:pPr>
              <w:spacing w:after="0" w:line="240" w:lineRule="auto"/>
              <w:jc w:val="right"/>
              <w:rPr>
                <w:rFonts w:ascii="Calibri" w:eastAsia="Times New Roman" w:hAnsi="Calibri" w:cs="Calibri"/>
                <w:i/>
                <w:iCs/>
                <w:color w:val="000000"/>
                <w:sz w:val="18"/>
                <w:szCs w:val="18"/>
              </w:rPr>
            </w:pPr>
          </w:p>
        </w:tc>
        <w:tc>
          <w:tcPr>
            <w:tcW w:w="6508" w:type="dxa"/>
            <w:tcBorders>
              <w:top w:val="nil"/>
              <w:left w:val="nil"/>
              <w:bottom w:val="nil"/>
              <w:right w:val="nil"/>
            </w:tcBorders>
            <w:shd w:val="clear" w:color="auto" w:fill="auto"/>
            <w:noWrap/>
            <w:vAlign w:val="bottom"/>
            <w:hideMark/>
          </w:tcPr>
          <w:p w14:paraId="4DCCED58" w14:textId="77777777" w:rsidR="00C35F40" w:rsidRPr="00C35F40" w:rsidRDefault="00C35F40" w:rsidP="00C35F40">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49BA2FB2" w14:textId="77777777" w:rsidR="00C35F40" w:rsidRPr="00C35F40" w:rsidRDefault="00C35F40" w:rsidP="00C35F40">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shd w:val="clear" w:color="auto" w:fill="auto"/>
            <w:noWrap/>
            <w:vAlign w:val="bottom"/>
            <w:hideMark/>
          </w:tcPr>
          <w:p w14:paraId="06C49AA1" w14:textId="77777777" w:rsidR="00C35F40" w:rsidRPr="00C35F40" w:rsidRDefault="00C35F40" w:rsidP="00C35F40">
            <w:pPr>
              <w:spacing w:after="0" w:line="240" w:lineRule="auto"/>
              <w:rPr>
                <w:rFonts w:ascii="Times New Roman" w:eastAsia="Times New Roman" w:hAnsi="Times New Roman" w:cs="Times New Roman"/>
                <w:sz w:val="20"/>
                <w:szCs w:val="20"/>
              </w:rPr>
            </w:pPr>
          </w:p>
        </w:tc>
      </w:tr>
      <w:tr w:rsidR="00C35F40" w:rsidRPr="00C35F40" w14:paraId="53FB1829" w14:textId="77777777" w:rsidTr="00C35F40">
        <w:trPr>
          <w:trHeight w:val="480"/>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48485"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Sl No</w:t>
            </w:r>
          </w:p>
        </w:tc>
        <w:tc>
          <w:tcPr>
            <w:tcW w:w="6508" w:type="dxa"/>
            <w:tcBorders>
              <w:top w:val="single" w:sz="4" w:space="0" w:color="auto"/>
              <w:left w:val="nil"/>
              <w:bottom w:val="single" w:sz="4" w:space="0" w:color="auto"/>
              <w:right w:val="single" w:sz="4" w:space="0" w:color="auto"/>
            </w:tcBorders>
            <w:shd w:val="clear" w:color="auto" w:fill="auto"/>
            <w:noWrap/>
            <w:vAlign w:val="center"/>
            <w:hideMark/>
          </w:tcPr>
          <w:p w14:paraId="52BCB629"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Particulars</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2CA5268D"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Total Unweighted Value (average) (i)</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6C4B907"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Total Weighted Value (average) (ii)</w:t>
            </w:r>
          </w:p>
        </w:tc>
      </w:tr>
      <w:tr w:rsidR="00C35F40" w:rsidRPr="00C35F40" w14:paraId="5A61E9A0"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62DAB5D5"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c>
          <w:tcPr>
            <w:tcW w:w="6508" w:type="dxa"/>
            <w:tcBorders>
              <w:top w:val="nil"/>
              <w:left w:val="nil"/>
              <w:bottom w:val="single" w:sz="4" w:space="0" w:color="auto"/>
              <w:right w:val="single" w:sz="4" w:space="0" w:color="auto"/>
            </w:tcBorders>
            <w:shd w:val="clear" w:color="auto" w:fill="auto"/>
            <w:noWrap/>
            <w:vAlign w:val="bottom"/>
            <w:hideMark/>
          </w:tcPr>
          <w:p w14:paraId="7B7E9D84"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High Quality Liquid Assets</w:t>
            </w:r>
          </w:p>
        </w:tc>
        <w:tc>
          <w:tcPr>
            <w:tcW w:w="1680" w:type="dxa"/>
            <w:tcBorders>
              <w:top w:val="nil"/>
              <w:left w:val="nil"/>
              <w:bottom w:val="single" w:sz="4" w:space="0" w:color="auto"/>
              <w:right w:val="single" w:sz="4" w:space="0" w:color="auto"/>
            </w:tcBorders>
            <w:shd w:val="clear" w:color="auto" w:fill="auto"/>
            <w:noWrap/>
            <w:vAlign w:val="bottom"/>
            <w:hideMark/>
          </w:tcPr>
          <w:p w14:paraId="436DDBCC"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c>
          <w:tcPr>
            <w:tcW w:w="1840" w:type="dxa"/>
            <w:tcBorders>
              <w:top w:val="nil"/>
              <w:left w:val="nil"/>
              <w:bottom w:val="single" w:sz="4" w:space="0" w:color="auto"/>
              <w:right w:val="single" w:sz="4" w:space="0" w:color="auto"/>
            </w:tcBorders>
            <w:shd w:val="clear" w:color="auto" w:fill="auto"/>
            <w:noWrap/>
            <w:vAlign w:val="bottom"/>
            <w:hideMark/>
          </w:tcPr>
          <w:p w14:paraId="6895EAE9"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r>
      <w:tr w:rsidR="00C35F40" w:rsidRPr="00C35F40" w14:paraId="3BD12CDB"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794C7810" w14:textId="77777777" w:rsidR="00C35F40" w:rsidRPr="00C35F40" w:rsidRDefault="00C35F40" w:rsidP="00C35F40">
            <w:pPr>
              <w:spacing w:after="0" w:line="240" w:lineRule="auto"/>
              <w:jc w:val="center"/>
              <w:rPr>
                <w:rFonts w:ascii="Calibri" w:eastAsia="Times New Roman" w:hAnsi="Calibri" w:cs="Calibri"/>
                <w:color w:val="000000"/>
                <w:sz w:val="18"/>
                <w:szCs w:val="18"/>
              </w:rPr>
            </w:pPr>
            <w:r w:rsidRPr="00C35F40">
              <w:rPr>
                <w:rFonts w:ascii="Calibri" w:eastAsia="Times New Roman" w:hAnsi="Calibri" w:cs="Calibri"/>
                <w:color w:val="000000"/>
                <w:sz w:val="18"/>
                <w:szCs w:val="18"/>
              </w:rPr>
              <w:t>1</w:t>
            </w:r>
          </w:p>
        </w:tc>
        <w:tc>
          <w:tcPr>
            <w:tcW w:w="6508" w:type="dxa"/>
            <w:tcBorders>
              <w:top w:val="nil"/>
              <w:left w:val="nil"/>
              <w:bottom w:val="single" w:sz="4" w:space="0" w:color="auto"/>
              <w:right w:val="single" w:sz="4" w:space="0" w:color="auto"/>
            </w:tcBorders>
            <w:shd w:val="clear" w:color="auto" w:fill="auto"/>
            <w:noWrap/>
            <w:vAlign w:val="bottom"/>
            <w:hideMark/>
          </w:tcPr>
          <w:p w14:paraId="05A6EEF5"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**Total High Quality Liquid Assets (HQLA)</w:t>
            </w:r>
          </w:p>
        </w:tc>
        <w:tc>
          <w:tcPr>
            <w:tcW w:w="1680" w:type="dxa"/>
            <w:tcBorders>
              <w:top w:val="nil"/>
              <w:left w:val="nil"/>
              <w:bottom w:val="single" w:sz="4" w:space="0" w:color="auto"/>
              <w:right w:val="single" w:sz="4" w:space="0" w:color="auto"/>
            </w:tcBorders>
            <w:shd w:val="clear" w:color="auto" w:fill="auto"/>
            <w:noWrap/>
            <w:vAlign w:val="bottom"/>
            <w:hideMark/>
          </w:tcPr>
          <w:p w14:paraId="7029EB44"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1,503.29 </w:t>
            </w:r>
          </w:p>
        </w:tc>
        <w:tc>
          <w:tcPr>
            <w:tcW w:w="1840" w:type="dxa"/>
            <w:tcBorders>
              <w:top w:val="nil"/>
              <w:left w:val="nil"/>
              <w:bottom w:val="single" w:sz="4" w:space="0" w:color="auto"/>
              <w:right w:val="single" w:sz="4" w:space="0" w:color="auto"/>
            </w:tcBorders>
            <w:shd w:val="clear" w:color="auto" w:fill="auto"/>
            <w:noWrap/>
            <w:vAlign w:val="bottom"/>
            <w:hideMark/>
          </w:tcPr>
          <w:p w14:paraId="13338DBC"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1,503.29 </w:t>
            </w:r>
          </w:p>
        </w:tc>
      </w:tr>
      <w:tr w:rsidR="00C35F40" w:rsidRPr="00C35F40" w14:paraId="33C3573D"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62B292F1" w14:textId="77777777" w:rsidR="00C35F40" w:rsidRPr="00C35F40" w:rsidRDefault="00C35F40" w:rsidP="00C35F40">
            <w:pPr>
              <w:spacing w:after="0" w:line="240" w:lineRule="auto"/>
              <w:jc w:val="center"/>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c>
          <w:tcPr>
            <w:tcW w:w="6508" w:type="dxa"/>
            <w:tcBorders>
              <w:top w:val="nil"/>
              <w:left w:val="nil"/>
              <w:bottom w:val="single" w:sz="4" w:space="0" w:color="auto"/>
              <w:right w:val="single" w:sz="4" w:space="0" w:color="auto"/>
            </w:tcBorders>
            <w:shd w:val="clear" w:color="auto" w:fill="auto"/>
            <w:noWrap/>
            <w:vAlign w:val="bottom"/>
            <w:hideMark/>
          </w:tcPr>
          <w:p w14:paraId="77BC0908"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Cash Outflows</w:t>
            </w:r>
          </w:p>
        </w:tc>
        <w:tc>
          <w:tcPr>
            <w:tcW w:w="1680" w:type="dxa"/>
            <w:tcBorders>
              <w:top w:val="nil"/>
              <w:left w:val="nil"/>
              <w:bottom w:val="single" w:sz="4" w:space="0" w:color="auto"/>
              <w:right w:val="single" w:sz="4" w:space="0" w:color="auto"/>
            </w:tcBorders>
            <w:shd w:val="clear" w:color="auto" w:fill="auto"/>
            <w:noWrap/>
            <w:vAlign w:val="bottom"/>
            <w:hideMark/>
          </w:tcPr>
          <w:p w14:paraId="03B35DD0"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c>
          <w:tcPr>
            <w:tcW w:w="1840" w:type="dxa"/>
            <w:tcBorders>
              <w:top w:val="nil"/>
              <w:left w:val="nil"/>
              <w:bottom w:val="single" w:sz="4" w:space="0" w:color="auto"/>
              <w:right w:val="single" w:sz="4" w:space="0" w:color="auto"/>
            </w:tcBorders>
            <w:shd w:val="clear" w:color="auto" w:fill="auto"/>
            <w:noWrap/>
            <w:vAlign w:val="bottom"/>
            <w:hideMark/>
          </w:tcPr>
          <w:p w14:paraId="1322A93D"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r>
      <w:tr w:rsidR="00C35F40" w:rsidRPr="00C35F40" w14:paraId="293E7391"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67F67CF9" w14:textId="77777777" w:rsidR="00C35F40" w:rsidRPr="00C35F40" w:rsidRDefault="00C35F40" w:rsidP="00C35F40">
            <w:pPr>
              <w:spacing w:after="0" w:line="240" w:lineRule="auto"/>
              <w:jc w:val="center"/>
              <w:rPr>
                <w:rFonts w:ascii="Calibri" w:eastAsia="Times New Roman" w:hAnsi="Calibri" w:cs="Calibri"/>
                <w:color w:val="000000"/>
                <w:sz w:val="18"/>
                <w:szCs w:val="18"/>
              </w:rPr>
            </w:pPr>
            <w:r w:rsidRPr="00C35F40">
              <w:rPr>
                <w:rFonts w:ascii="Calibri" w:eastAsia="Times New Roman" w:hAnsi="Calibri" w:cs="Calibri"/>
                <w:color w:val="000000"/>
                <w:sz w:val="18"/>
                <w:szCs w:val="18"/>
              </w:rPr>
              <w:t>2</w:t>
            </w:r>
          </w:p>
        </w:tc>
        <w:tc>
          <w:tcPr>
            <w:tcW w:w="6508" w:type="dxa"/>
            <w:tcBorders>
              <w:top w:val="nil"/>
              <w:left w:val="nil"/>
              <w:bottom w:val="single" w:sz="4" w:space="0" w:color="auto"/>
              <w:right w:val="single" w:sz="4" w:space="0" w:color="auto"/>
            </w:tcBorders>
            <w:shd w:val="clear" w:color="auto" w:fill="auto"/>
            <w:noWrap/>
            <w:vAlign w:val="bottom"/>
            <w:hideMark/>
          </w:tcPr>
          <w:p w14:paraId="76255709"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Deposits (for deposit taking companies)</w:t>
            </w:r>
          </w:p>
        </w:tc>
        <w:tc>
          <w:tcPr>
            <w:tcW w:w="1680" w:type="dxa"/>
            <w:tcBorders>
              <w:top w:val="nil"/>
              <w:left w:val="nil"/>
              <w:bottom w:val="single" w:sz="4" w:space="0" w:color="auto"/>
              <w:right w:val="single" w:sz="4" w:space="0" w:color="auto"/>
            </w:tcBorders>
            <w:shd w:val="clear" w:color="auto" w:fill="auto"/>
            <w:noWrap/>
            <w:vAlign w:val="bottom"/>
            <w:hideMark/>
          </w:tcPr>
          <w:p w14:paraId="1188FAC5"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   </w:t>
            </w:r>
          </w:p>
        </w:tc>
        <w:tc>
          <w:tcPr>
            <w:tcW w:w="1840" w:type="dxa"/>
            <w:tcBorders>
              <w:top w:val="nil"/>
              <w:left w:val="nil"/>
              <w:bottom w:val="single" w:sz="4" w:space="0" w:color="auto"/>
              <w:right w:val="single" w:sz="4" w:space="0" w:color="auto"/>
            </w:tcBorders>
            <w:shd w:val="clear" w:color="auto" w:fill="auto"/>
            <w:noWrap/>
            <w:vAlign w:val="bottom"/>
            <w:hideMark/>
          </w:tcPr>
          <w:p w14:paraId="4F090CD7"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   </w:t>
            </w:r>
          </w:p>
        </w:tc>
      </w:tr>
      <w:tr w:rsidR="00C35F40" w:rsidRPr="00C35F40" w14:paraId="47571007"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5BE444E3" w14:textId="77777777" w:rsidR="00C35F40" w:rsidRPr="00C35F40" w:rsidRDefault="00C35F40" w:rsidP="00C35F40">
            <w:pPr>
              <w:spacing w:after="0" w:line="240" w:lineRule="auto"/>
              <w:jc w:val="center"/>
              <w:rPr>
                <w:rFonts w:ascii="Calibri" w:eastAsia="Times New Roman" w:hAnsi="Calibri" w:cs="Calibri"/>
                <w:color w:val="000000"/>
                <w:sz w:val="18"/>
                <w:szCs w:val="18"/>
              </w:rPr>
            </w:pPr>
            <w:r w:rsidRPr="00C35F40">
              <w:rPr>
                <w:rFonts w:ascii="Calibri" w:eastAsia="Times New Roman" w:hAnsi="Calibri" w:cs="Calibri"/>
                <w:color w:val="000000"/>
                <w:sz w:val="18"/>
                <w:szCs w:val="18"/>
              </w:rPr>
              <w:t>3</w:t>
            </w:r>
          </w:p>
        </w:tc>
        <w:tc>
          <w:tcPr>
            <w:tcW w:w="6508" w:type="dxa"/>
            <w:tcBorders>
              <w:top w:val="nil"/>
              <w:left w:val="nil"/>
              <w:bottom w:val="single" w:sz="4" w:space="0" w:color="auto"/>
              <w:right w:val="single" w:sz="4" w:space="0" w:color="auto"/>
            </w:tcBorders>
            <w:shd w:val="clear" w:color="auto" w:fill="auto"/>
            <w:noWrap/>
            <w:vAlign w:val="bottom"/>
            <w:hideMark/>
          </w:tcPr>
          <w:p w14:paraId="5F338FAE"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Unsecured wholesale funding </w:t>
            </w:r>
            <w:r w:rsidRPr="00C35F40">
              <w:rPr>
                <w:rFonts w:ascii="Calibri" w:eastAsia="Times New Roman" w:hAnsi="Calibri" w:cs="Calibri"/>
                <w:b/>
                <w:bCs/>
                <w:color w:val="000000"/>
                <w:sz w:val="18"/>
                <w:szCs w:val="18"/>
              </w:rPr>
              <w:t>(iii)</w:t>
            </w:r>
          </w:p>
        </w:tc>
        <w:tc>
          <w:tcPr>
            <w:tcW w:w="1680" w:type="dxa"/>
            <w:tcBorders>
              <w:top w:val="nil"/>
              <w:left w:val="nil"/>
              <w:bottom w:val="single" w:sz="4" w:space="0" w:color="auto"/>
              <w:right w:val="single" w:sz="4" w:space="0" w:color="auto"/>
            </w:tcBorders>
            <w:shd w:val="clear" w:color="auto" w:fill="auto"/>
            <w:noWrap/>
            <w:vAlign w:val="bottom"/>
            <w:hideMark/>
          </w:tcPr>
          <w:p w14:paraId="581BF088"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559.34 </w:t>
            </w:r>
          </w:p>
        </w:tc>
        <w:tc>
          <w:tcPr>
            <w:tcW w:w="1840" w:type="dxa"/>
            <w:tcBorders>
              <w:top w:val="nil"/>
              <w:left w:val="nil"/>
              <w:bottom w:val="single" w:sz="4" w:space="0" w:color="auto"/>
              <w:right w:val="single" w:sz="4" w:space="0" w:color="auto"/>
            </w:tcBorders>
            <w:shd w:val="clear" w:color="auto" w:fill="auto"/>
            <w:noWrap/>
            <w:vAlign w:val="bottom"/>
            <w:hideMark/>
          </w:tcPr>
          <w:p w14:paraId="42E787F1"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643.24 </w:t>
            </w:r>
          </w:p>
        </w:tc>
      </w:tr>
      <w:tr w:rsidR="00C35F40" w:rsidRPr="00C35F40" w14:paraId="399C9672"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720EB076" w14:textId="77777777" w:rsidR="00C35F40" w:rsidRPr="00C35F40" w:rsidRDefault="00C35F40" w:rsidP="00C35F40">
            <w:pPr>
              <w:spacing w:after="0" w:line="240" w:lineRule="auto"/>
              <w:jc w:val="center"/>
              <w:rPr>
                <w:rFonts w:ascii="Calibri" w:eastAsia="Times New Roman" w:hAnsi="Calibri" w:cs="Calibri"/>
                <w:color w:val="000000"/>
                <w:sz w:val="18"/>
                <w:szCs w:val="18"/>
              </w:rPr>
            </w:pPr>
            <w:r w:rsidRPr="00C35F40">
              <w:rPr>
                <w:rFonts w:ascii="Calibri" w:eastAsia="Times New Roman" w:hAnsi="Calibri" w:cs="Calibri"/>
                <w:color w:val="000000"/>
                <w:sz w:val="18"/>
                <w:szCs w:val="18"/>
              </w:rPr>
              <w:t>4</w:t>
            </w:r>
          </w:p>
        </w:tc>
        <w:tc>
          <w:tcPr>
            <w:tcW w:w="6508" w:type="dxa"/>
            <w:tcBorders>
              <w:top w:val="nil"/>
              <w:left w:val="nil"/>
              <w:bottom w:val="single" w:sz="4" w:space="0" w:color="auto"/>
              <w:right w:val="single" w:sz="4" w:space="0" w:color="auto"/>
            </w:tcBorders>
            <w:shd w:val="clear" w:color="auto" w:fill="auto"/>
            <w:noWrap/>
            <w:vAlign w:val="bottom"/>
            <w:hideMark/>
          </w:tcPr>
          <w:p w14:paraId="3894897E"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Secured wholesale funding </w:t>
            </w:r>
            <w:r w:rsidRPr="00C35F40">
              <w:rPr>
                <w:rFonts w:ascii="Calibri" w:eastAsia="Times New Roman" w:hAnsi="Calibri" w:cs="Calibri"/>
                <w:b/>
                <w:bCs/>
                <w:color w:val="000000"/>
                <w:sz w:val="18"/>
                <w:szCs w:val="18"/>
              </w:rPr>
              <w:t>(iv)</w:t>
            </w:r>
          </w:p>
        </w:tc>
        <w:tc>
          <w:tcPr>
            <w:tcW w:w="1680" w:type="dxa"/>
            <w:tcBorders>
              <w:top w:val="nil"/>
              <w:left w:val="nil"/>
              <w:bottom w:val="single" w:sz="4" w:space="0" w:color="auto"/>
              <w:right w:val="single" w:sz="4" w:space="0" w:color="auto"/>
            </w:tcBorders>
            <w:shd w:val="clear" w:color="auto" w:fill="auto"/>
            <w:noWrap/>
            <w:vAlign w:val="bottom"/>
            <w:hideMark/>
          </w:tcPr>
          <w:p w14:paraId="356B6C88"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984.88 </w:t>
            </w:r>
          </w:p>
        </w:tc>
        <w:tc>
          <w:tcPr>
            <w:tcW w:w="1840" w:type="dxa"/>
            <w:tcBorders>
              <w:top w:val="nil"/>
              <w:left w:val="nil"/>
              <w:bottom w:val="single" w:sz="4" w:space="0" w:color="auto"/>
              <w:right w:val="single" w:sz="4" w:space="0" w:color="auto"/>
            </w:tcBorders>
            <w:shd w:val="clear" w:color="auto" w:fill="auto"/>
            <w:noWrap/>
            <w:vAlign w:val="bottom"/>
            <w:hideMark/>
          </w:tcPr>
          <w:p w14:paraId="752F7B5D"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1,132.61 </w:t>
            </w:r>
          </w:p>
        </w:tc>
      </w:tr>
      <w:tr w:rsidR="00C35F40" w:rsidRPr="00C35F40" w14:paraId="4E29FD43"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47447066" w14:textId="77777777" w:rsidR="00C35F40" w:rsidRPr="00C35F40" w:rsidRDefault="00C35F40" w:rsidP="00C35F40">
            <w:pPr>
              <w:spacing w:after="0" w:line="240" w:lineRule="auto"/>
              <w:jc w:val="center"/>
              <w:rPr>
                <w:rFonts w:ascii="Calibri" w:eastAsia="Times New Roman" w:hAnsi="Calibri" w:cs="Calibri"/>
                <w:color w:val="000000"/>
                <w:sz w:val="18"/>
                <w:szCs w:val="18"/>
              </w:rPr>
            </w:pPr>
            <w:r w:rsidRPr="00C35F40">
              <w:rPr>
                <w:rFonts w:ascii="Calibri" w:eastAsia="Times New Roman" w:hAnsi="Calibri" w:cs="Calibri"/>
                <w:color w:val="000000"/>
                <w:sz w:val="18"/>
                <w:szCs w:val="18"/>
              </w:rPr>
              <w:t>5</w:t>
            </w:r>
          </w:p>
        </w:tc>
        <w:tc>
          <w:tcPr>
            <w:tcW w:w="6508" w:type="dxa"/>
            <w:tcBorders>
              <w:top w:val="nil"/>
              <w:left w:val="nil"/>
              <w:bottom w:val="single" w:sz="4" w:space="0" w:color="auto"/>
              <w:right w:val="single" w:sz="4" w:space="0" w:color="auto"/>
            </w:tcBorders>
            <w:shd w:val="clear" w:color="auto" w:fill="auto"/>
            <w:noWrap/>
            <w:vAlign w:val="bottom"/>
            <w:hideMark/>
          </w:tcPr>
          <w:p w14:paraId="2798E2DB"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Additional requirements, of which</w:t>
            </w:r>
          </w:p>
        </w:tc>
        <w:tc>
          <w:tcPr>
            <w:tcW w:w="1680" w:type="dxa"/>
            <w:tcBorders>
              <w:top w:val="nil"/>
              <w:left w:val="nil"/>
              <w:bottom w:val="single" w:sz="4" w:space="0" w:color="auto"/>
              <w:right w:val="single" w:sz="4" w:space="0" w:color="auto"/>
            </w:tcBorders>
            <w:shd w:val="clear" w:color="auto" w:fill="auto"/>
            <w:noWrap/>
            <w:vAlign w:val="bottom"/>
            <w:hideMark/>
          </w:tcPr>
          <w:p w14:paraId="2F43B151"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   </w:t>
            </w:r>
          </w:p>
        </w:tc>
        <w:tc>
          <w:tcPr>
            <w:tcW w:w="1840" w:type="dxa"/>
            <w:tcBorders>
              <w:top w:val="nil"/>
              <w:left w:val="nil"/>
              <w:bottom w:val="single" w:sz="4" w:space="0" w:color="auto"/>
              <w:right w:val="single" w:sz="4" w:space="0" w:color="auto"/>
            </w:tcBorders>
            <w:shd w:val="clear" w:color="auto" w:fill="auto"/>
            <w:noWrap/>
            <w:vAlign w:val="bottom"/>
            <w:hideMark/>
          </w:tcPr>
          <w:p w14:paraId="52F64E63"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   </w:t>
            </w:r>
          </w:p>
        </w:tc>
      </w:tr>
      <w:tr w:rsidR="00C35F40" w:rsidRPr="00C35F40" w14:paraId="19069120"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3BE5D040" w14:textId="77777777" w:rsidR="00C35F40" w:rsidRPr="00C35F40" w:rsidRDefault="00C35F40" w:rsidP="00C35F40">
            <w:pPr>
              <w:spacing w:after="0" w:line="240" w:lineRule="auto"/>
              <w:jc w:val="center"/>
              <w:rPr>
                <w:rFonts w:ascii="Calibri" w:eastAsia="Times New Roman" w:hAnsi="Calibri" w:cs="Calibri"/>
                <w:color w:val="000000"/>
                <w:sz w:val="18"/>
                <w:szCs w:val="18"/>
              </w:rPr>
            </w:pPr>
            <w:r w:rsidRPr="00C35F40">
              <w:rPr>
                <w:rFonts w:ascii="Calibri" w:eastAsia="Times New Roman" w:hAnsi="Calibri" w:cs="Calibri"/>
                <w:color w:val="000000"/>
                <w:sz w:val="18"/>
                <w:szCs w:val="18"/>
              </w:rPr>
              <w:t>i)</w:t>
            </w:r>
          </w:p>
        </w:tc>
        <w:tc>
          <w:tcPr>
            <w:tcW w:w="6508" w:type="dxa"/>
            <w:tcBorders>
              <w:top w:val="nil"/>
              <w:left w:val="nil"/>
              <w:bottom w:val="single" w:sz="4" w:space="0" w:color="auto"/>
              <w:right w:val="single" w:sz="4" w:space="0" w:color="auto"/>
            </w:tcBorders>
            <w:shd w:val="clear" w:color="auto" w:fill="auto"/>
            <w:noWrap/>
            <w:vAlign w:val="bottom"/>
            <w:hideMark/>
          </w:tcPr>
          <w:p w14:paraId="7A730A14"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Outflows related to derivative exposures and other collateral requirements</w:t>
            </w:r>
          </w:p>
        </w:tc>
        <w:tc>
          <w:tcPr>
            <w:tcW w:w="1680" w:type="dxa"/>
            <w:tcBorders>
              <w:top w:val="nil"/>
              <w:left w:val="nil"/>
              <w:bottom w:val="single" w:sz="4" w:space="0" w:color="auto"/>
              <w:right w:val="single" w:sz="4" w:space="0" w:color="auto"/>
            </w:tcBorders>
            <w:shd w:val="clear" w:color="auto" w:fill="auto"/>
            <w:noWrap/>
            <w:vAlign w:val="bottom"/>
            <w:hideMark/>
          </w:tcPr>
          <w:p w14:paraId="2A569183"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   </w:t>
            </w:r>
          </w:p>
        </w:tc>
        <w:tc>
          <w:tcPr>
            <w:tcW w:w="1840" w:type="dxa"/>
            <w:tcBorders>
              <w:top w:val="nil"/>
              <w:left w:val="nil"/>
              <w:bottom w:val="single" w:sz="4" w:space="0" w:color="auto"/>
              <w:right w:val="single" w:sz="4" w:space="0" w:color="auto"/>
            </w:tcBorders>
            <w:shd w:val="clear" w:color="auto" w:fill="auto"/>
            <w:noWrap/>
            <w:vAlign w:val="bottom"/>
            <w:hideMark/>
          </w:tcPr>
          <w:p w14:paraId="561905F6"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   </w:t>
            </w:r>
          </w:p>
        </w:tc>
      </w:tr>
      <w:tr w:rsidR="00C35F40" w:rsidRPr="00C35F40" w14:paraId="04FE13F1"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2BFA3B8A" w14:textId="77777777" w:rsidR="00C35F40" w:rsidRPr="00C35F40" w:rsidRDefault="00C35F40" w:rsidP="00C35F40">
            <w:pPr>
              <w:spacing w:after="0" w:line="240" w:lineRule="auto"/>
              <w:jc w:val="center"/>
              <w:rPr>
                <w:rFonts w:ascii="Calibri" w:eastAsia="Times New Roman" w:hAnsi="Calibri" w:cs="Calibri"/>
                <w:color w:val="000000"/>
                <w:sz w:val="18"/>
                <w:szCs w:val="18"/>
              </w:rPr>
            </w:pPr>
            <w:r w:rsidRPr="00C35F40">
              <w:rPr>
                <w:rFonts w:ascii="Calibri" w:eastAsia="Times New Roman" w:hAnsi="Calibri" w:cs="Calibri"/>
                <w:color w:val="000000"/>
                <w:sz w:val="18"/>
                <w:szCs w:val="18"/>
              </w:rPr>
              <w:t>ii)</w:t>
            </w:r>
          </w:p>
        </w:tc>
        <w:tc>
          <w:tcPr>
            <w:tcW w:w="6508" w:type="dxa"/>
            <w:tcBorders>
              <w:top w:val="nil"/>
              <w:left w:val="nil"/>
              <w:bottom w:val="single" w:sz="4" w:space="0" w:color="auto"/>
              <w:right w:val="single" w:sz="4" w:space="0" w:color="auto"/>
            </w:tcBorders>
            <w:shd w:val="clear" w:color="auto" w:fill="auto"/>
            <w:noWrap/>
            <w:vAlign w:val="bottom"/>
            <w:hideMark/>
          </w:tcPr>
          <w:p w14:paraId="39CAD87A"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Outflows related to loss of funding on debt products</w:t>
            </w:r>
          </w:p>
        </w:tc>
        <w:tc>
          <w:tcPr>
            <w:tcW w:w="1680" w:type="dxa"/>
            <w:tcBorders>
              <w:top w:val="nil"/>
              <w:left w:val="nil"/>
              <w:bottom w:val="single" w:sz="4" w:space="0" w:color="auto"/>
              <w:right w:val="single" w:sz="4" w:space="0" w:color="auto"/>
            </w:tcBorders>
            <w:shd w:val="clear" w:color="auto" w:fill="auto"/>
            <w:noWrap/>
            <w:vAlign w:val="bottom"/>
            <w:hideMark/>
          </w:tcPr>
          <w:p w14:paraId="35DF94C4"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   </w:t>
            </w:r>
          </w:p>
        </w:tc>
        <w:tc>
          <w:tcPr>
            <w:tcW w:w="1840" w:type="dxa"/>
            <w:tcBorders>
              <w:top w:val="nil"/>
              <w:left w:val="nil"/>
              <w:bottom w:val="single" w:sz="4" w:space="0" w:color="auto"/>
              <w:right w:val="single" w:sz="4" w:space="0" w:color="auto"/>
            </w:tcBorders>
            <w:shd w:val="clear" w:color="auto" w:fill="auto"/>
            <w:noWrap/>
            <w:vAlign w:val="bottom"/>
            <w:hideMark/>
          </w:tcPr>
          <w:p w14:paraId="5D5AF1E0"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   </w:t>
            </w:r>
          </w:p>
        </w:tc>
      </w:tr>
      <w:tr w:rsidR="00C35F40" w:rsidRPr="00C35F40" w14:paraId="4EF1D74E"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224FB7CE" w14:textId="77777777" w:rsidR="00C35F40" w:rsidRPr="00C35F40" w:rsidRDefault="00C35F40" w:rsidP="00C35F40">
            <w:pPr>
              <w:spacing w:after="0" w:line="240" w:lineRule="auto"/>
              <w:jc w:val="center"/>
              <w:rPr>
                <w:rFonts w:ascii="Calibri" w:eastAsia="Times New Roman" w:hAnsi="Calibri" w:cs="Calibri"/>
                <w:color w:val="000000"/>
                <w:sz w:val="18"/>
                <w:szCs w:val="18"/>
              </w:rPr>
            </w:pPr>
            <w:r w:rsidRPr="00C35F40">
              <w:rPr>
                <w:rFonts w:ascii="Calibri" w:eastAsia="Times New Roman" w:hAnsi="Calibri" w:cs="Calibri"/>
                <w:color w:val="000000"/>
                <w:sz w:val="18"/>
                <w:szCs w:val="18"/>
              </w:rPr>
              <w:t>iii)</w:t>
            </w:r>
          </w:p>
        </w:tc>
        <w:tc>
          <w:tcPr>
            <w:tcW w:w="6508" w:type="dxa"/>
            <w:tcBorders>
              <w:top w:val="nil"/>
              <w:left w:val="nil"/>
              <w:bottom w:val="single" w:sz="4" w:space="0" w:color="auto"/>
              <w:right w:val="single" w:sz="4" w:space="0" w:color="auto"/>
            </w:tcBorders>
            <w:shd w:val="clear" w:color="auto" w:fill="auto"/>
            <w:noWrap/>
            <w:vAlign w:val="bottom"/>
            <w:hideMark/>
          </w:tcPr>
          <w:p w14:paraId="674B169A"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Credit and liquidity facilities</w:t>
            </w:r>
          </w:p>
        </w:tc>
        <w:tc>
          <w:tcPr>
            <w:tcW w:w="1680" w:type="dxa"/>
            <w:tcBorders>
              <w:top w:val="nil"/>
              <w:left w:val="nil"/>
              <w:bottom w:val="single" w:sz="4" w:space="0" w:color="auto"/>
              <w:right w:val="single" w:sz="4" w:space="0" w:color="auto"/>
            </w:tcBorders>
            <w:shd w:val="clear" w:color="auto" w:fill="auto"/>
            <w:noWrap/>
            <w:vAlign w:val="bottom"/>
            <w:hideMark/>
          </w:tcPr>
          <w:p w14:paraId="46AEF7B3"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   </w:t>
            </w:r>
          </w:p>
        </w:tc>
        <w:tc>
          <w:tcPr>
            <w:tcW w:w="1840" w:type="dxa"/>
            <w:tcBorders>
              <w:top w:val="nil"/>
              <w:left w:val="nil"/>
              <w:bottom w:val="single" w:sz="4" w:space="0" w:color="auto"/>
              <w:right w:val="single" w:sz="4" w:space="0" w:color="auto"/>
            </w:tcBorders>
            <w:shd w:val="clear" w:color="auto" w:fill="auto"/>
            <w:noWrap/>
            <w:vAlign w:val="bottom"/>
            <w:hideMark/>
          </w:tcPr>
          <w:p w14:paraId="41615B21"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   </w:t>
            </w:r>
          </w:p>
        </w:tc>
      </w:tr>
      <w:tr w:rsidR="00C35F40" w:rsidRPr="00C35F40" w14:paraId="5548F2AB"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2EDDAEC4" w14:textId="77777777" w:rsidR="00C35F40" w:rsidRPr="00C35F40" w:rsidRDefault="00C35F40" w:rsidP="00C35F40">
            <w:pPr>
              <w:spacing w:after="0" w:line="240" w:lineRule="auto"/>
              <w:jc w:val="center"/>
              <w:rPr>
                <w:rFonts w:ascii="Calibri" w:eastAsia="Times New Roman" w:hAnsi="Calibri" w:cs="Calibri"/>
                <w:color w:val="000000"/>
                <w:sz w:val="18"/>
                <w:szCs w:val="18"/>
              </w:rPr>
            </w:pPr>
            <w:r w:rsidRPr="00C35F40">
              <w:rPr>
                <w:rFonts w:ascii="Calibri" w:eastAsia="Times New Roman" w:hAnsi="Calibri" w:cs="Calibri"/>
                <w:color w:val="000000"/>
                <w:sz w:val="18"/>
                <w:szCs w:val="18"/>
              </w:rPr>
              <w:t>6</w:t>
            </w:r>
          </w:p>
        </w:tc>
        <w:tc>
          <w:tcPr>
            <w:tcW w:w="6508" w:type="dxa"/>
            <w:tcBorders>
              <w:top w:val="nil"/>
              <w:left w:val="nil"/>
              <w:bottom w:val="single" w:sz="4" w:space="0" w:color="auto"/>
              <w:right w:val="single" w:sz="4" w:space="0" w:color="auto"/>
            </w:tcBorders>
            <w:shd w:val="clear" w:color="auto" w:fill="auto"/>
            <w:noWrap/>
            <w:vAlign w:val="bottom"/>
            <w:hideMark/>
          </w:tcPr>
          <w:p w14:paraId="09867078"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Other contractual funding obligations</w:t>
            </w:r>
          </w:p>
        </w:tc>
        <w:tc>
          <w:tcPr>
            <w:tcW w:w="1680" w:type="dxa"/>
            <w:tcBorders>
              <w:top w:val="nil"/>
              <w:left w:val="nil"/>
              <w:bottom w:val="single" w:sz="4" w:space="0" w:color="auto"/>
              <w:right w:val="single" w:sz="4" w:space="0" w:color="auto"/>
            </w:tcBorders>
            <w:shd w:val="clear" w:color="auto" w:fill="auto"/>
            <w:noWrap/>
            <w:vAlign w:val="bottom"/>
            <w:hideMark/>
          </w:tcPr>
          <w:p w14:paraId="05956837"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284.71 </w:t>
            </w:r>
          </w:p>
        </w:tc>
        <w:tc>
          <w:tcPr>
            <w:tcW w:w="1840" w:type="dxa"/>
            <w:tcBorders>
              <w:top w:val="nil"/>
              <w:left w:val="nil"/>
              <w:bottom w:val="single" w:sz="4" w:space="0" w:color="auto"/>
              <w:right w:val="single" w:sz="4" w:space="0" w:color="auto"/>
            </w:tcBorders>
            <w:shd w:val="clear" w:color="auto" w:fill="auto"/>
            <w:noWrap/>
            <w:vAlign w:val="bottom"/>
            <w:hideMark/>
          </w:tcPr>
          <w:p w14:paraId="4FCBB76F"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327.42 </w:t>
            </w:r>
          </w:p>
        </w:tc>
      </w:tr>
      <w:tr w:rsidR="00C35F40" w:rsidRPr="00C35F40" w14:paraId="17FFF094"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6A925FB0" w14:textId="77777777" w:rsidR="00C35F40" w:rsidRPr="00C35F40" w:rsidRDefault="00C35F40" w:rsidP="00C35F40">
            <w:pPr>
              <w:spacing w:after="0" w:line="240" w:lineRule="auto"/>
              <w:jc w:val="center"/>
              <w:rPr>
                <w:rFonts w:ascii="Calibri" w:eastAsia="Times New Roman" w:hAnsi="Calibri" w:cs="Calibri"/>
                <w:color w:val="000000"/>
                <w:sz w:val="18"/>
                <w:szCs w:val="18"/>
              </w:rPr>
            </w:pPr>
            <w:r w:rsidRPr="00C35F40">
              <w:rPr>
                <w:rFonts w:ascii="Calibri" w:eastAsia="Times New Roman" w:hAnsi="Calibri" w:cs="Calibri"/>
                <w:color w:val="000000"/>
                <w:sz w:val="18"/>
                <w:szCs w:val="18"/>
              </w:rPr>
              <w:t>7</w:t>
            </w:r>
          </w:p>
        </w:tc>
        <w:tc>
          <w:tcPr>
            <w:tcW w:w="6508" w:type="dxa"/>
            <w:tcBorders>
              <w:top w:val="nil"/>
              <w:left w:val="nil"/>
              <w:bottom w:val="single" w:sz="4" w:space="0" w:color="auto"/>
              <w:right w:val="single" w:sz="4" w:space="0" w:color="auto"/>
            </w:tcBorders>
            <w:shd w:val="clear" w:color="auto" w:fill="auto"/>
            <w:noWrap/>
            <w:vAlign w:val="bottom"/>
            <w:hideMark/>
          </w:tcPr>
          <w:p w14:paraId="0C6DCD6A"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Other contingent funding obligations</w:t>
            </w:r>
          </w:p>
        </w:tc>
        <w:tc>
          <w:tcPr>
            <w:tcW w:w="1680" w:type="dxa"/>
            <w:tcBorders>
              <w:top w:val="nil"/>
              <w:left w:val="nil"/>
              <w:bottom w:val="single" w:sz="4" w:space="0" w:color="auto"/>
              <w:right w:val="single" w:sz="4" w:space="0" w:color="auto"/>
            </w:tcBorders>
            <w:shd w:val="clear" w:color="auto" w:fill="auto"/>
            <w:noWrap/>
            <w:vAlign w:val="bottom"/>
            <w:hideMark/>
          </w:tcPr>
          <w:p w14:paraId="6B6E1341"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58.21 </w:t>
            </w:r>
          </w:p>
        </w:tc>
        <w:tc>
          <w:tcPr>
            <w:tcW w:w="1840" w:type="dxa"/>
            <w:tcBorders>
              <w:top w:val="nil"/>
              <w:left w:val="nil"/>
              <w:bottom w:val="single" w:sz="4" w:space="0" w:color="auto"/>
              <w:right w:val="single" w:sz="4" w:space="0" w:color="auto"/>
            </w:tcBorders>
            <w:shd w:val="clear" w:color="auto" w:fill="auto"/>
            <w:noWrap/>
            <w:vAlign w:val="bottom"/>
            <w:hideMark/>
          </w:tcPr>
          <w:p w14:paraId="78E583D8"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66.94 </w:t>
            </w:r>
          </w:p>
        </w:tc>
      </w:tr>
      <w:tr w:rsidR="00C35F40" w:rsidRPr="00C35F40" w14:paraId="001BDDFA"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50BD2206" w14:textId="77777777" w:rsidR="00C35F40" w:rsidRPr="00C35F40" w:rsidRDefault="00C35F40" w:rsidP="00C35F40">
            <w:pPr>
              <w:spacing w:after="0" w:line="240" w:lineRule="auto"/>
              <w:jc w:val="center"/>
              <w:rPr>
                <w:rFonts w:ascii="Calibri" w:eastAsia="Times New Roman" w:hAnsi="Calibri" w:cs="Calibri"/>
                <w:color w:val="000000"/>
                <w:sz w:val="18"/>
                <w:szCs w:val="18"/>
              </w:rPr>
            </w:pPr>
            <w:r w:rsidRPr="00C35F40">
              <w:rPr>
                <w:rFonts w:ascii="Calibri" w:eastAsia="Times New Roman" w:hAnsi="Calibri" w:cs="Calibri"/>
                <w:color w:val="000000"/>
                <w:sz w:val="18"/>
                <w:szCs w:val="18"/>
              </w:rPr>
              <w:t>8</w:t>
            </w:r>
          </w:p>
        </w:tc>
        <w:tc>
          <w:tcPr>
            <w:tcW w:w="6508" w:type="dxa"/>
            <w:tcBorders>
              <w:top w:val="nil"/>
              <w:left w:val="nil"/>
              <w:bottom w:val="single" w:sz="4" w:space="0" w:color="auto"/>
              <w:right w:val="single" w:sz="4" w:space="0" w:color="auto"/>
            </w:tcBorders>
            <w:shd w:val="clear" w:color="auto" w:fill="auto"/>
            <w:noWrap/>
            <w:vAlign w:val="bottom"/>
            <w:hideMark/>
          </w:tcPr>
          <w:p w14:paraId="02CF2C3B"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TOTAL CASH OUTFLOWS</w:t>
            </w:r>
          </w:p>
        </w:tc>
        <w:tc>
          <w:tcPr>
            <w:tcW w:w="1680" w:type="dxa"/>
            <w:tcBorders>
              <w:top w:val="nil"/>
              <w:left w:val="nil"/>
              <w:bottom w:val="single" w:sz="4" w:space="0" w:color="auto"/>
              <w:right w:val="single" w:sz="4" w:space="0" w:color="auto"/>
            </w:tcBorders>
            <w:shd w:val="clear" w:color="auto" w:fill="auto"/>
            <w:noWrap/>
            <w:vAlign w:val="bottom"/>
            <w:hideMark/>
          </w:tcPr>
          <w:p w14:paraId="60E0840F"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 xml:space="preserve">                    1,887.14 </w:t>
            </w:r>
          </w:p>
        </w:tc>
        <w:tc>
          <w:tcPr>
            <w:tcW w:w="1840" w:type="dxa"/>
            <w:tcBorders>
              <w:top w:val="nil"/>
              <w:left w:val="nil"/>
              <w:bottom w:val="single" w:sz="4" w:space="0" w:color="auto"/>
              <w:right w:val="single" w:sz="4" w:space="0" w:color="auto"/>
            </w:tcBorders>
            <w:shd w:val="clear" w:color="auto" w:fill="auto"/>
            <w:noWrap/>
            <w:vAlign w:val="bottom"/>
            <w:hideMark/>
          </w:tcPr>
          <w:p w14:paraId="20372F3C"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 xml:space="preserve">                        2,170.21 </w:t>
            </w:r>
          </w:p>
        </w:tc>
      </w:tr>
      <w:tr w:rsidR="00C35F40" w:rsidRPr="00C35F40" w14:paraId="3E9E0199"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481F76BE" w14:textId="77777777" w:rsidR="00C35F40" w:rsidRPr="00C35F40" w:rsidRDefault="00C35F40" w:rsidP="00C35F40">
            <w:pPr>
              <w:spacing w:after="0" w:line="240" w:lineRule="auto"/>
              <w:jc w:val="center"/>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c>
          <w:tcPr>
            <w:tcW w:w="6508" w:type="dxa"/>
            <w:tcBorders>
              <w:top w:val="nil"/>
              <w:left w:val="nil"/>
              <w:bottom w:val="single" w:sz="4" w:space="0" w:color="auto"/>
              <w:right w:val="single" w:sz="4" w:space="0" w:color="auto"/>
            </w:tcBorders>
            <w:shd w:val="clear" w:color="auto" w:fill="auto"/>
            <w:noWrap/>
            <w:vAlign w:val="bottom"/>
            <w:hideMark/>
          </w:tcPr>
          <w:p w14:paraId="7A1B3655"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Cash Inflows</w:t>
            </w:r>
          </w:p>
        </w:tc>
        <w:tc>
          <w:tcPr>
            <w:tcW w:w="1680" w:type="dxa"/>
            <w:tcBorders>
              <w:top w:val="nil"/>
              <w:left w:val="nil"/>
              <w:bottom w:val="single" w:sz="4" w:space="0" w:color="auto"/>
              <w:right w:val="single" w:sz="4" w:space="0" w:color="auto"/>
            </w:tcBorders>
            <w:shd w:val="clear" w:color="auto" w:fill="auto"/>
            <w:noWrap/>
            <w:vAlign w:val="bottom"/>
            <w:hideMark/>
          </w:tcPr>
          <w:p w14:paraId="010044E8"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c>
          <w:tcPr>
            <w:tcW w:w="1840" w:type="dxa"/>
            <w:tcBorders>
              <w:top w:val="nil"/>
              <w:left w:val="nil"/>
              <w:bottom w:val="single" w:sz="4" w:space="0" w:color="auto"/>
              <w:right w:val="single" w:sz="4" w:space="0" w:color="auto"/>
            </w:tcBorders>
            <w:shd w:val="clear" w:color="auto" w:fill="auto"/>
            <w:noWrap/>
            <w:vAlign w:val="bottom"/>
            <w:hideMark/>
          </w:tcPr>
          <w:p w14:paraId="02602CA9"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r>
      <w:tr w:rsidR="00C35F40" w:rsidRPr="00C35F40" w14:paraId="6A1B0D09"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4EB02461" w14:textId="77777777" w:rsidR="00C35F40" w:rsidRPr="00C35F40" w:rsidRDefault="00C35F40" w:rsidP="00C35F40">
            <w:pPr>
              <w:spacing w:after="0" w:line="240" w:lineRule="auto"/>
              <w:jc w:val="center"/>
              <w:rPr>
                <w:rFonts w:ascii="Calibri" w:eastAsia="Times New Roman" w:hAnsi="Calibri" w:cs="Calibri"/>
                <w:color w:val="000000"/>
                <w:sz w:val="18"/>
                <w:szCs w:val="18"/>
              </w:rPr>
            </w:pPr>
            <w:r w:rsidRPr="00C35F40">
              <w:rPr>
                <w:rFonts w:ascii="Calibri" w:eastAsia="Times New Roman" w:hAnsi="Calibri" w:cs="Calibri"/>
                <w:color w:val="000000"/>
                <w:sz w:val="18"/>
                <w:szCs w:val="18"/>
              </w:rPr>
              <w:t>9</w:t>
            </w:r>
          </w:p>
        </w:tc>
        <w:tc>
          <w:tcPr>
            <w:tcW w:w="6508" w:type="dxa"/>
            <w:tcBorders>
              <w:top w:val="nil"/>
              <w:left w:val="nil"/>
              <w:bottom w:val="single" w:sz="4" w:space="0" w:color="auto"/>
              <w:right w:val="single" w:sz="4" w:space="0" w:color="auto"/>
            </w:tcBorders>
            <w:shd w:val="clear" w:color="auto" w:fill="auto"/>
            <w:noWrap/>
            <w:vAlign w:val="bottom"/>
            <w:hideMark/>
          </w:tcPr>
          <w:p w14:paraId="56708E01"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Secured lending</w:t>
            </w:r>
          </w:p>
        </w:tc>
        <w:tc>
          <w:tcPr>
            <w:tcW w:w="1680" w:type="dxa"/>
            <w:tcBorders>
              <w:top w:val="nil"/>
              <w:left w:val="nil"/>
              <w:bottom w:val="single" w:sz="4" w:space="0" w:color="auto"/>
              <w:right w:val="single" w:sz="4" w:space="0" w:color="auto"/>
            </w:tcBorders>
            <w:shd w:val="clear" w:color="auto" w:fill="auto"/>
            <w:noWrap/>
            <w:vAlign w:val="bottom"/>
            <w:hideMark/>
          </w:tcPr>
          <w:p w14:paraId="3704A45D"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1,380.50 </w:t>
            </w:r>
          </w:p>
        </w:tc>
        <w:tc>
          <w:tcPr>
            <w:tcW w:w="1840" w:type="dxa"/>
            <w:tcBorders>
              <w:top w:val="nil"/>
              <w:left w:val="nil"/>
              <w:bottom w:val="single" w:sz="4" w:space="0" w:color="auto"/>
              <w:right w:val="single" w:sz="4" w:space="0" w:color="auto"/>
            </w:tcBorders>
            <w:shd w:val="clear" w:color="auto" w:fill="auto"/>
            <w:noWrap/>
            <w:vAlign w:val="bottom"/>
            <w:hideMark/>
          </w:tcPr>
          <w:p w14:paraId="4822621F"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1,035.37 </w:t>
            </w:r>
          </w:p>
        </w:tc>
      </w:tr>
      <w:tr w:rsidR="00C35F40" w:rsidRPr="00C35F40" w14:paraId="203D3624"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2AD000F1" w14:textId="77777777" w:rsidR="00C35F40" w:rsidRPr="00C35F40" w:rsidRDefault="00C35F40" w:rsidP="00C35F40">
            <w:pPr>
              <w:spacing w:after="0" w:line="240" w:lineRule="auto"/>
              <w:jc w:val="center"/>
              <w:rPr>
                <w:rFonts w:ascii="Calibri" w:eastAsia="Times New Roman" w:hAnsi="Calibri" w:cs="Calibri"/>
                <w:color w:val="000000"/>
                <w:sz w:val="18"/>
                <w:szCs w:val="18"/>
              </w:rPr>
            </w:pPr>
            <w:r w:rsidRPr="00C35F40">
              <w:rPr>
                <w:rFonts w:ascii="Calibri" w:eastAsia="Times New Roman" w:hAnsi="Calibri" w:cs="Calibri"/>
                <w:color w:val="000000"/>
                <w:sz w:val="18"/>
                <w:szCs w:val="18"/>
              </w:rPr>
              <w:t>10</w:t>
            </w:r>
          </w:p>
        </w:tc>
        <w:tc>
          <w:tcPr>
            <w:tcW w:w="6508" w:type="dxa"/>
            <w:tcBorders>
              <w:top w:val="nil"/>
              <w:left w:val="nil"/>
              <w:bottom w:val="single" w:sz="4" w:space="0" w:color="auto"/>
              <w:right w:val="single" w:sz="4" w:space="0" w:color="auto"/>
            </w:tcBorders>
            <w:shd w:val="clear" w:color="auto" w:fill="auto"/>
            <w:noWrap/>
            <w:vAlign w:val="bottom"/>
            <w:hideMark/>
          </w:tcPr>
          <w:p w14:paraId="08C0DBE5"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Inflows from fully performing exposures</w:t>
            </w:r>
          </w:p>
        </w:tc>
        <w:tc>
          <w:tcPr>
            <w:tcW w:w="1680" w:type="dxa"/>
            <w:tcBorders>
              <w:top w:val="nil"/>
              <w:left w:val="nil"/>
              <w:bottom w:val="single" w:sz="4" w:space="0" w:color="auto"/>
              <w:right w:val="single" w:sz="4" w:space="0" w:color="auto"/>
            </w:tcBorders>
            <w:shd w:val="clear" w:color="auto" w:fill="auto"/>
            <w:noWrap/>
            <w:vAlign w:val="bottom"/>
            <w:hideMark/>
          </w:tcPr>
          <w:p w14:paraId="69C09876"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471.35 </w:t>
            </w:r>
          </w:p>
        </w:tc>
        <w:tc>
          <w:tcPr>
            <w:tcW w:w="1840" w:type="dxa"/>
            <w:tcBorders>
              <w:top w:val="nil"/>
              <w:left w:val="nil"/>
              <w:bottom w:val="single" w:sz="4" w:space="0" w:color="auto"/>
              <w:right w:val="single" w:sz="4" w:space="0" w:color="auto"/>
            </w:tcBorders>
            <w:shd w:val="clear" w:color="auto" w:fill="auto"/>
            <w:noWrap/>
            <w:vAlign w:val="bottom"/>
            <w:hideMark/>
          </w:tcPr>
          <w:p w14:paraId="1CA5D085"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353.51 </w:t>
            </w:r>
          </w:p>
        </w:tc>
      </w:tr>
      <w:tr w:rsidR="00C35F40" w:rsidRPr="00C35F40" w14:paraId="70BF0A40"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6752C2EA" w14:textId="77777777" w:rsidR="00C35F40" w:rsidRPr="00C35F40" w:rsidRDefault="00C35F40" w:rsidP="00C35F40">
            <w:pPr>
              <w:spacing w:after="0" w:line="240" w:lineRule="auto"/>
              <w:jc w:val="center"/>
              <w:rPr>
                <w:rFonts w:ascii="Calibri" w:eastAsia="Times New Roman" w:hAnsi="Calibri" w:cs="Calibri"/>
                <w:color w:val="000000"/>
                <w:sz w:val="18"/>
                <w:szCs w:val="18"/>
              </w:rPr>
            </w:pPr>
            <w:r w:rsidRPr="00C35F40">
              <w:rPr>
                <w:rFonts w:ascii="Calibri" w:eastAsia="Times New Roman" w:hAnsi="Calibri" w:cs="Calibri"/>
                <w:color w:val="000000"/>
                <w:sz w:val="18"/>
                <w:szCs w:val="18"/>
              </w:rPr>
              <w:t>11</w:t>
            </w:r>
          </w:p>
        </w:tc>
        <w:tc>
          <w:tcPr>
            <w:tcW w:w="6508" w:type="dxa"/>
            <w:tcBorders>
              <w:top w:val="nil"/>
              <w:left w:val="nil"/>
              <w:bottom w:val="single" w:sz="4" w:space="0" w:color="auto"/>
              <w:right w:val="single" w:sz="4" w:space="0" w:color="auto"/>
            </w:tcBorders>
            <w:shd w:val="clear" w:color="auto" w:fill="auto"/>
            <w:noWrap/>
            <w:vAlign w:val="bottom"/>
            <w:hideMark/>
          </w:tcPr>
          <w:p w14:paraId="6D0C81EB"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Other cash inflows</w:t>
            </w:r>
          </w:p>
        </w:tc>
        <w:tc>
          <w:tcPr>
            <w:tcW w:w="1680" w:type="dxa"/>
            <w:tcBorders>
              <w:top w:val="nil"/>
              <w:left w:val="nil"/>
              <w:bottom w:val="single" w:sz="4" w:space="0" w:color="auto"/>
              <w:right w:val="single" w:sz="4" w:space="0" w:color="auto"/>
            </w:tcBorders>
            <w:shd w:val="clear" w:color="auto" w:fill="auto"/>
            <w:noWrap/>
            <w:vAlign w:val="bottom"/>
            <w:hideMark/>
          </w:tcPr>
          <w:p w14:paraId="13E0F854"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25.10 </w:t>
            </w:r>
          </w:p>
        </w:tc>
        <w:tc>
          <w:tcPr>
            <w:tcW w:w="1840" w:type="dxa"/>
            <w:tcBorders>
              <w:top w:val="nil"/>
              <w:left w:val="nil"/>
              <w:bottom w:val="single" w:sz="4" w:space="0" w:color="auto"/>
              <w:right w:val="single" w:sz="4" w:space="0" w:color="auto"/>
            </w:tcBorders>
            <w:shd w:val="clear" w:color="auto" w:fill="auto"/>
            <w:noWrap/>
            <w:vAlign w:val="bottom"/>
            <w:hideMark/>
          </w:tcPr>
          <w:p w14:paraId="38A36DFB"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xml:space="preserve">                             18.83 </w:t>
            </w:r>
          </w:p>
        </w:tc>
      </w:tr>
      <w:tr w:rsidR="00C35F40" w:rsidRPr="00C35F40" w14:paraId="22E6CCDC"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6BF931CF" w14:textId="77777777" w:rsidR="00C35F40" w:rsidRPr="00C35F40" w:rsidRDefault="00C35F40" w:rsidP="00C35F40">
            <w:pPr>
              <w:spacing w:after="0" w:line="240" w:lineRule="auto"/>
              <w:jc w:val="center"/>
              <w:rPr>
                <w:rFonts w:ascii="Calibri" w:eastAsia="Times New Roman" w:hAnsi="Calibri" w:cs="Calibri"/>
                <w:color w:val="000000"/>
                <w:sz w:val="18"/>
                <w:szCs w:val="18"/>
              </w:rPr>
            </w:pPr>
            <w:r w:rsidRPr="00C35F40">
              <w:rPr>
                <w:rFonts w:ascii="Calibri" w:eastAsia="Times New Roman" w:hAnsi="Calibri" w:cs="Calibri"/>
                <w:color w:val="000000"/>
                <w:sz w:val="18"/>
                <w:szCs w:val="18"/>
              </w:rPr>
              <w:t>12</w:t>
            </w:r>
          </w:p>
        </w:tc>
        <w:tc>
          <w:tcPr>
            <w:tcW w:w="6508" w:type="dxa"/>
            <w:tcBorders>
              <w:top w:val="nil"/>
              <w:left w:val="nil"/>
              <w:bottom w:val="single" w:sz="4" w:space="0" w:color="auto"/>
              <w:right w:val="single" w:sz="4" w:space="0" w:color="auto"/>
            </w:tcBorders>
            <w:shd w:val="clear" w:color="auto" w:fill="auto"/>
            <w:noWrap/>
            <w:vAlign w:val="bottom"/>
            <w:hideMark/>
          </w:tcPr>
          <w:p w14:paraId="51F8B614"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TOTAL CASH INFLOWS</w:t>
            </w:r>
          </w:p>
        </w:tc>
        <w:tc>
          <w:tcPr>
            <w:tcW w:w="1680" w:type="dxa"/>
            <w:tcBorders>
              <w:top w:val="nil"/>
              <w:left w:val="nil"/>
              <w:bottom w:val="single" w:sz="4" w:space="0" w:color="auto"/>
              <w:right w:val="single" w:sz="4" w:space="0" w:color="auto"/>
            </w:tcBorders>
            <w:shd w:val="clear" w:color="auto" w:fill="auto"/>
            <w:noWrap/>
            <w:vAlign w:val="bottom"/>
            <w:hideMark/>
          </w:tcPr>
          <w:p w14:paraId="4D6DFC0D"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 xml:space="preserve">                    1,876.95 </w:t>
            </w:r>
          </w:p>
        </w:tc>
        <w:tc>
          <w:tcPr>
            <w:tcW w:w="1840" w:type="dxa"/>
            <w:tcBorders>
              <w:top w:val="nil"/>
              <w:left w:val="nil"/>
              <w:bottom w:val="single" w:sz="4" w:space="0" w:color="auto"/>
              <w:right w:val="single" w:sz="4" w:space="0" w:color="auto"/>
            </w:tcBorders>
            <w:shd w:val="clear" w:color="auto" w:fill="auto"/>
            <w:noWrap/>
            <w:vAlign w:val="bottom"/>
            <w:hideMark/>
          </w:tcPr>
          <w:p w14:paraId="0F6B4FF3"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 xml:space="preserve">                        1,407.71 </w:t>
            </w:r>
          </w:p>
        </w:tc>
      </w:tr>
      <w:tr w:rsidR="00C35F40" w:rsidRPr="00C35F40" w14:paraId="5DC15C8B"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0B4DD483"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c>
          <w:tcPr>
            <w:tcW w:w="6508" w:type="dxa"/>
            <w:tcBorders>
              <w:top w:val="nil"/>
              <w:left w:val="nil"/>
              <w:bottom w:val="single" w:sz="4" w:space="0" w:color="auto"/>
              <w:right w:val="single" w:sz="4" w:space="0" w:color="auto"/>
            </w:tcBorders>
            <w:shd w:val="clear" w:color="auto" w:fill="auto"/>
            <w:noWrap/>
            <w:vAlign w:val="bottom"/>
            <w:hideMark/>
          </w:tcPr>
          <w:p w14:paraId="43DE6F18"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c>
          <w:tcPr>
            <w:tcW w:w="1680" w:type="dxa"/>
            <w:tcBorders>
              <w:top w:val="nil"/>
              <w:left w:val="nil"/>
              <w:bottom w:val="single" w:sz="4" w:space="0" w:color="auto"/>
              <w:right w:val="single" w:sz="4" w:space="0" w:color="auto"/>
            </w:tcBorders>
            <w:shd w:val="clear" w:color="auto" w:fill="auto"/>
            <w:noWrap/>
            <w:vAlign w:val="bottom"/>
            <w:hideMark/>
          </w:tcPr>
          <w:p w14:paraId="4758CCD3"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c>
          <w:tcPr>
            <w:tcW w:w="1840" w:type="dxa"/>
            <w:tcBorders>
              <w:top w:val="nil"/>
              <w:left w:val="nil"/>
              <w:bottom w:val="single" w:sz="4" w:space="0" w:color="auto"/>
              <w:right w:val="single" w:sz="4" w:space="0" w:color="auto"/>
            </w:tcBorders>
            <w:shd w:val="clear" w:color="auto" w:fill="auto"/>
            <w:noWrap/>
            <w:vAlign w:val="bottom"/>
            <w:hideMark/>
          </w:tcPr>
          <w:p w14:paraId="34B6A414"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r>
      <w:tr w:rsidR="00C35F40" w:rsidRPr="00C35F40" w14:paraId="38A2E88C"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5E08330F"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c>
          <w:tcPr>
            <w:tcW w:w="6508" w:type="dxa"/>
            <w:tcBorders>
              <w:top w:val="nil"/>
              <w:left w:val="nil"/>
              <w:bottom w:val="single" w:sz="4" w:space="0" w:color="auto"/>
              <w:right w:val="single" w:sz="4" w:space="0" w:color="auto"/>
            </w:tcBorders>
            <w:shd w:val="clear" w:color="auto" w:fill="auto"/>
            <w:noWrap/>
            <w:vAlign w:val="bottom"/>
            <w:hideMark/>
          </w:tcPr>
          <w:p w14:paraId="7B9BBC3C"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c>
          <w:tcPr>
            <w:tcW w:w="1680" w:type="dxa"/>
            <w:tcBorders>
              <w:top w:val="nil"/>
              <w:left w:val="nil"/>
              <w:bottom w:val="single" w:sz="4" w:space="0" w:color="auto"/>
              <w:right w:val="single" w:sz="4" w:space="0" w:color="auto"/>
            </w:tcBorders>
            <w:shd w:val="clear" w:color="auto" w:fill="auto"/>
            <w:noWrap/>
            <w:vAlign w:val="bottom"/>
            <w:hideMark/>
          </w:tcPr>
          <w:p w14:paraId="20913851"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c>
          <w:tcPr>
            <w:tcW w:w="1840" w:type="dxa"/>
            <w:tcBorders>
              <w:top w:val="nil"/>
              <w:left w:val="nil"/>
              <w:bottom w:val="single" w:sz="4" w:space="0" w:color="auto"/>
              <w:right w:val="single" w:sz="4" w:space="0" w:color="auto"/>
            </w:tcBorders>
            <w:shd w:val="clear" w:color="auto" w:fill="auto"/>
            <w:noWrap/>
            <w:vAlign w:val="bottom"/>
            <w:hideMark/>
          </w:tcPr>
          <w:p w14:paraId="7E2A5244"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Total Adjusted Value</w:t>
            </w:r>
          </w:p>
        </w:tc>
      </w:tr>
      <w:tr w:rsidR="00C35F40" w:rsidRPr="00C35F40" w14:paraId="31944472"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5CC027C9"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c>
          <w:tcPr>
            <w:tcW w:w="6508" w:type="dxa"/>
            <w:tcBorders>
              <w:top w:val="nil"/>
              <w:left w:val="nil"/>
              <w:bottom w:val="single" w:sz="4" w:space="0" w:color="auto"/>
              <w:right w:val="single" w:sz="4" w:space="0" w:color="auto"/>
            </w:tcBorders>
            <w:shd w:val="clear" w:color="auto" w:fill="auto"/>
            <w:noWrap/>
            <w:vAlign w:val="bottom"/>
            <w:hideMark/>
          </w:tcPr>
          <w:p w14:paraId="52C33D8F"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TOTAL HQLA</w:t>
            </w:r>
          </w:p>
        </w:tc>
        <w:tc>
          <w:tcPr>
            <w:tcW w:w="1680" w:type="dxa"/>
            <w:tcBorders>
              <w:top w:val="nil"/>
              <w:left w:val="nil"/>
              <w:bottom w:val="single" w:sz="4" w:space="0" w:color="auto"/>
              <w:right w:val="single" w:sz="4" w:space="0" w:color="auto"/>
            </w:tcBorders>
            <w:shd w:val="clear" w:color="auto" w:fill="auto"/>
            <w:noWrap/>
            <w:vAlign w:val="bottom"/>
            <w:hideMark/>
          </w:tcPr>
          <w:p w14:paraId="271D743D"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c>
          <w:tcPr>
            <w:tcW w:w="1840" w:type="dxa"/>
            <w:tcBorders>
              <w:top w:val="nil"/>
              <w:left w:val="nil"/>
              <w:bottom w:val="single" w:sz="4" w:space="0" w:color="auto"/>
              <w:right w:val="single" w:sz="4" w:space="0" w:color="auto"/>
            </w:tcBorders>
            <w:shd w:val="clear" w:color="auto" w:fill="auto"/>
            <w:noWrap/>
            <w:vAlign w:val="bottom"/>
            <w:hideMark/>
          </w:tcPr>
          <w:p w14:paraId="3001011B"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 xml:space="preserve">                        1,503.29 </w:t>
            </w:r>
          </w:p>
        </w:tc>
      </w:tr>
      <w:tr w:rsidR="00C35F40" w:rsidRPr="00C35F40" w14:paraId="60F9D670" w14:textId="77777777" w:rsidTr="00C35F40">
        <w:trPr>
          <w:trHeight w:val="72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2012A8E0"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c>
          <w:tcPr>
            <w:tcW w:w="6508" w:type="dxa"/>
            <w:tcBorders>
              <w:top w:val="nil"/>
              <w:left w:val="nil"/>
              <w:bottom w:val="single" w:sz="4" w:space="0" w:color="auto"/>
              <w:right w:val="single" w:sz="4" w:space="0" w:color="auto"/>
            </w:tcBorders>
            <w:shd w:val="clear" w:color="auto" w:fill="auto"/>
            <w:vAlign w:val="bottom"/>
            <w:hideMark/>
          </w:tcPr>
          <w:p w14:paraId="06E55C97"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b/>
                <w:bCs/>
                <w:color w:val="000000"/>
                <w:sz w:val="18"/>
                <w:szCs w:val="18"/>
              </w:rPr>
              <w:t>TOTAL NET CASH OUTFLOWS</w:t>
            </w:r>
            <w:r w:rsidRPr="00C35F40">
              <w:rPr>
                <w:rFonts w:ascii="Calibri" w:eastAsia="Times New Roman" w:hAnsi="Calibri" w:cs="Calibri"/>
                <w:color w:val="000000"/>
                <w:sz w:val="18"/>
                <w:szCs w:val="18"/>
              </w:rPr>
              <w:br/>
              <w:t>(Weighted value of Total Cash Outflows – Minimum of (Weighted value of Total Cash Inflows, 75% of Weighted value of Total Cash Outflows))</w:t>
            </w:r>
          </w:p>
        </w:tc>
        <w:tc>
          <w:tcPr>
            <w:tcW w:w="1680" w:type="dxa"/>
            <w:tcBorders>
              <w:top w:val="nil"/>
              <w:left w:val="nil"/>
              <w:bottom w:val="single" w:sz="4" w:space="0" w:color="auto"/>
              <w:right w:val="single" w:sz="4" w:space="0" w:color="auto"/>
            </w:tcBorders>
            <w:shd w:val="clear" w:color="auto" w:fill="auto"/>
            <w:noWrap/>
            <w:vAlign w:val="bottom"/>
            <w:hideMark/>
          </w:tcPr>
          <w:p w14:paraId="281DBDB6"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c>
          <w:tcPr>
            <w:tcW w:w="1840" w:type="dxa"/>
            <w:tcBorders>
              <w:top w:val="nil"/>
              <w:left w:val="nil"/>
              <w:bottom w:val="single" w:sz="4" w:space="0" w:color="auto"/>
              <w:right w:val="single" w:sz="4" w:space="0" w:color="auto"/>
            </w:tcBorders>
            <w:shd w:val="clear" w:color="auto" w:fill="auto"/>
            <w:noWrap/>
            <w:vAlign w:val="bottom"/>
            <w:hideMark/>
          </w:tcPr>
          <w:p w14:paraId="1803B314"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 xml:space="preserve">                           762.50 </w:t>
            </w:r>
          </w:p>
        </w:tc>
      </w:tr>
      <w:tr w:rsidR="00C35F40" w:rsidRPr="00C35F40" w14:paraId="57168B12" w14:textId="77777777" w:rsidTr="00C35F40">
        <w:trPr>
          <w:trHeight w:val="24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14:paraId="6BA46E29"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c>
          <w:tcPr>
            <w:tcW w:w="6508" w:type="dxa"/>
            <w:tcBorders>
              <w:top w:val="nil"/>
              <w:left w:val="nil"/>
              <w:bottom w:val="single" w:sz="4" w:space="0" w:color="auto"/>
              <w:right w:val="single" w:sz="4" w:space="0" w:color="auto"/>
            </w:tcBorders>
            <w:shd w:val="clear" w:color="auto" w:fill="auto"/>
            <w:noWrap/>
            <w:vAlign w:val="bottom"/>
            <w:hideMark/>
          </w:tcPr>
          <w:p w14:paraId="1E23152E" w14:textId="77777777" w:rsidR="00C35F40" w:rsidRPr="00C35F40" w:rsidRDefault="00C35F40" w:rsidP="00C35F40">
            <w:pPr>
              <w:spacing w:after="0" w:line="240" w:lineRule="auto"/>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LIQUIDITY COVERAGE RATIO (%)</w:t>
            </w:r>
          </w:p>
        </w:tc>
        <w:tc>
          <w:tcPr>
            <w:tcW w:w="1680" w:type="dxa"/>
            <w:tcBorders>
              <w:top w:val="nil"/>
              <w:left w:val="nil"/>
              <w:bottom w:val="single" w:sz="4" w:space="0" w:color="auto"/>
              <w:right w:val="single" w:sz="4" w:space="0" w:color="auto"/>
            </w:tcBorders>
            <w:shd w:val="clear" w:color="auto" w:fill="auto"/>
            <w:noWrap/>
            <w:vAlign w:val="bottom"/>
            <w:hideMark/>
          </w:tcPr>
          <w:p w14:paraId="42F049F9" w14:textId="77777777" w:rsidR="00C35F40" w:rsidRPr="00C35F40" w:rsidRDefault="00C35F40" w:rsidP="00C35F40">
            <w:pPr>
              <w:spacing w:after="0" w:line="240" w:lineRule="auto"/>
              <w:rPr>
                <w:rFonts w:ascii="Calibri" w:eastAsia="Times New Roman" w:hAnsi="Calibri" w:cs="Calibri"/>
                <w:color w:val="000000"/>
                <w:sz w:val="18"/>
                <w:szCs w:val="18"/>
              </w:rPr>
            </w:pPr>
            <w:r w:rsidRPr="00C35F40">
              <w:rPr>
                <w:rFonts w:ascii="Calibri" w:eastAsia="Times New Roman" w:hAnsi="Calibri" w:cs="Calibri"/>
                <w:color w:val="000000"/>
                <w:sz w:val="18"/>
                <w:szCs w:val="18"/>
              </w:rPr>
              <w:t> </w:t>
            </w:r>
          </w:p>
        </w:tc>
        <w:tc>
          <w:tcPr>
            <w:tcW w:w="1840" w:type="dxa"/>
            <w:tcBorders>
              <w:top w:val="nil"/>
              <w:left w:val="nil"/>
              <w:bottom w:val="single" w:sz="4" w:space="0" w:color="auto"/>
              <w:right w:val="single" w:sz="4" w:space="0" w:color="auto"/>
            </w:tcBorders>
            <w:shd w:val="clear" w:color="auto" w:fill="auto"/>
            <w:noWrap/>
            <w:vAlign w:val="bottom"/>
            <w:hideMark/>
          </w:tcPr>
          <w:p w14:paraId="17529B25" w14:textId="0E18C17B" w:rsidR="00C35F40" w:rsidRPr="00C35F40" w:rsidRDefault="00C35F40" w:rsidP="00C35F40">
            <w:pPr>
              <w:spacing w:after="0" w:line="240" w:lineRule="auto"/>
              <w:jc w:val="right"/>
              <w:rPr>
                <w:rFonts w:ascii="Calibri" w:eastAsia="Times New Roman" w:hAnsi="Calibri" w:cs="Calibri"/>
                <w:b/>
                <w:bCs/>
                <w:color w:val="000000"/>
                <w:sz w:val="18"/>
                <w:szCs w:val="18"/>
              </w:rPr>
            </w:pPr>
            <w:r w:rsidRPr="00C35F40">
              <w:rPr>
                <w:rFonts w:ascii="Calibri" w:eastAsia="Times New Roman" w:hAnsi="Calibri" w:cs="Calibri"/>
                <w:b/>
                <w:bCs/>
                <w:color w:val="000000"/>
                <w:sz w:val="18"/>
                <w:szCs w:val="18"/>
              </w:rPr>
              <w:t>197%</w:t>
            </w:r>
          </w:p>
        </w:tc>
      </w:tr>
    </w:tbl>
    <w:p w14:paraId="1240D8AB" w14:textId="77777777" w:rsidR="00C35F40" w:rsidRPr="009D53DA" w:rsidRDefault="00C35F40" w:rsidP="00D86B3F">
      <w:pPr>
        <w:spacing w:after="0" w:line="240" w:lineRule="auto"/>
        <w:rPr>
          <w:rFonts w:ascii="Calibri" w:eastAsia="Times New Roman" w:hAnsi="Calibri" w:cs="Calibri"/>
          <w:color w:val="000000"/>
        </w:rPr>
      </w:pPr>
    </w:p>
    <w:p w14:paraId="0BB77736" w14:textId="77777777" w:rsidR="00D86B3F" w:rsidRPr="00E542F4" w:rsidRDefault="00D86B3F" w:rsidP="00D86B3F">
      <w:pPr>
        <w:spacing w:after="0"/>
        <w:rPr>
          <w:rFonts w:ascii="Calibri" w:eastAsia="Times New Roman" w:hAnsi="Calibri" w:cs="Calibri"/>
          <w:color w:val="000000"/>
          <w:sz w:val="20"/>
          <w:szCs w:val="20"/>
        </w:rPr>
      </w:pPr>
      <w:r w:rsidRPr="00E542F4">
        <w:rPr>
          <w:rFonts w:ascii="Calibri" w:eastAsia="Times New Roman" w:hAnsi="Calibri" w:cs="Calibri"/>
          <w:b/>
          <w:bCs/>
          <w:color w:val="000000"/>
          <w:sz w:val="20"/>
          <w:szCs w:val="20"/>
        </w:rPr>
        <w:t>i)</w:t>
      </w:r>
      <w:r w:rsidRPr="00E542F4">
        <w:rPr>
          <w:rFonts w:ascii="Calibri" w:eastAsia="Times New Roman" w:hAnsi="Calibri" w:cs="Calibri"/>
          <w:color w:val="000000"/>
          <w:sz w:val="20"/>
          <w:szCs w:val="20"/>
        </w:rPr>
        <w:t xml:space="preserve"> Unweighted values calculated as outstanding balances maturing within one month (for inflows and outflows).</w:t>
      </w:r>
    </w:p>
    <w:p w14:paraId="1864F9C5" w14:textId="77777777" w:rsidR="00D86B3F" w:rsidRPr="00E542F4" w:rsidRDefault="00D86B3F" w:rsidP="00D86B3F">
      <w:pPr>
        <w:spacing w:after="0" w:line="240" w:lineRule="auto"/>
        <w:rPr>
          <w:rFonts w:ascii="Calibri" w:eastAsia="Times New Roman" w:hAnsi="Calibri" w:cs="Calibri"/>
          <w:color w:val="000000"/>
          <w:sz w:val="20"/>
          <w:szCs w:val="20"/>
        </w:rPr>
      </w:pPr>
      <w:r w:rsidRPr="00E542F4">
        <w:rPr>
          <w:rFonts w:ascii="Calibri" w:eastAsia="Times New Roman" w:hAnsi="Calibri" w:cs="Calibri"/>
          <w:b/>
          <w:bCs/>
          <w:color w:val="000000"/>
          <w:sz w:val="20"/>
          <w:szCs w:val="20"/>
        </w:rPr>
        <w:t>ii)</w:t>
      </w:r>
      <w:r w:rsidRPr="00E542F4">
        <w:rPr>
          <w:rFonts w:ascii="Calibri" w:eastAsia="Times New Roman" w:hAnsi="Calibri" w:cs="Calibri"/>
          <w:color w:val="000000"/>
          <w:sz w:val="20"/>
          <w:szCs w:val="20"/>
        </w:rPr>
        <w:t xml:space="preserve"> Weighted values calculated after the application of respective haircuts (for HQLA) and stress factors on inflow (75%) and outflow (115%).</w:t>
      </w:r>
    </w:p>
    <w:p w14:paraId="74CEBDA9" w14:textId="77777777" w:rsidR="00D86B3F" w:rsidRPr="00E542F4" w:rsidRDefault="00D86B3F" w:rsidP="00D86B3F">
      <w:pPr>
        <w:spacing w:after="0" w:line="240" w:lineRule="auto"/>
        <w:rPr>
          <w:rFonts w:ascii="Calibri" w:eastAsia="Times New Roman" w:hAnsi="Calibri" w:cs="Calibri"/>
          <w:color w:val="000000"/>
          <w:sz w:val="20"/>
          <w:szCs w:val="20"/>
        </w:rPr>
      </w:pPr>
      <w:r w:rsidRPr="00E542F4">
        <w:rPr>
          <w:rFonts w:ascii="Calibri" w:eastAsia="Times New Roman" w:hAnsi="Calibri" w:cs="Calibri"/>
          <w:b/>
          <w:bCs/>
          <w:color w:val="000000"/>
          <w:sz w:val="20"/>
          <w:szCs w:val="20"/>
        </w:rPr>
        <w:t>iii)</w:t>
      </w:r>
      <w:r w:rsidRPr="00E542F4">
        <w:rPr>
          <w:rFonts w:ascii="Calibri" w:eastAsia="Times New Roman" w:hAnsi="Calibri" w:cs="Calibri"/>
          <w:color w:val="000000"/>
          <w:sz w:val="20"/>
          <w:szCs w:val="20"/>
        </w:rPr>
        <w:t xml:space="preserve"> Unsecured wholesale funding includes cash outflow on account of Commercial Paper and other unsecured borrowing repayments.</w:t>
      </w:r>
    </w:p>
    <w:p w14:paraId="3A4F02B4" w14:textId="77777777" w:rsidR="00D86B3F" w:rsidRPr="00E542F4" w:rsidRDefault="00D86B3F" w:rsidP="00D86B3F">
      <w:pPr>
        <w:spacing w:after="0" w:line="240" w:lineRule="auto"/>
        <w:rPr>
          <w:rFonts w:ascii="Calibri" w:eastAsia="Times New Roman" w:hAnsi="Calibri" w:cs="Calibri"/>
          <w:color w:val="000000"/>
          <w:sz w:val="20"/>
          <w:szCs w:val="20"/>
        </w:rPr>
      </w:pPr>
      <w:r w:rsidRPr="00E542F4">
        <w:rPr>
          <w:rFonts w:ascii="Calibri" w:eastAsia="Times New Roman" w:hAnsi="Calibri" w:cs="Calibri"/>
          <w:b/>
          <w:bCs/>
          <w:color w:val="000000"/>
          <w:sz w:val="20"/>
          <w:szCs w:val="20"/>
        </w:rPr>
        <w:t>iv)</w:t>
      </w:r>
      <w:r w:rsidRPr="00E542F4">
        <w:rPr>
          <w:rFonts w:ascii="Calibri" w:eastAsia="Times New Roman" w:hAnsi="Calibri" w:cs="Calibri"/>
          <w:color w:val="000000"/>
          <w:sz w:val="20"/>
          <w:szCs w:val="20"/>
        </w:rPr>
        <w:t xml:space="preserve"> Secured wholesale funding includes all Secured borrowing repayments</w:t>
      </w:r>
      <w:r>
        <w:rPr>
          <w:rFonts w:ascii="Calibri" w:eastAsia="Times New Roman" w:hAnsi="Calibri" w:cs="Calibri"/>
          <w:color w:val="000000"/>
          <w:sz w:val="20"/>
          <w:szCs w:val="20"/>
        </w:rPr>
        <w:t>.</w:t>
      </w:r>
    </w:p>
    <w:p w14:paraId="042790D5" w14:textId="77777777" w:rsidR="00D86B3F" w:rsidRPr="00E52748" w:rsidRDefault="00D86B3F" w:rsidP="00D86B3F">
      <w:pPr>
        <w:rPr>
          <w:rFonts w:ascii="Calibri" w:hAnsi="Calibri" w:cs="Calibri"/>
        </w:rPr>
      </w:pPr>
    </w:p>
    <w:p w14:paraId="1E52C0CF" w14:textId="47B0966E" w:rsidR="00E542F4" w:rsidRPr="00E52748" w:rsidRDefault="00E542F4" w:rsidP="00E542F4">
      <w:pPr>
        <w:rPr>
          <w:rFonts w:ascii="Calibri" w:hAnsi="Calibri" w:cs="Calibri"/>
        </w:rPr>
      </w:pPr>
    </w:p>
    <w:sectPr w:rsidR="00E542F4" w:rsidRPr="00E52748" w:rsidSect="00ED2D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8AA7" w14:textId="77777777" w:rsidR="006F1AFD" w:rsidRDefault="006F1AFD" w:rsidP="00ED2DA5">
      <w:pPr>
        <w:spacing w:after="0" w:line="240" w:lineRule="auto"/>
      </w:pPr>
      <w:r>
        <w:separator/>
      </w:r>
    </w:p>
  </w:endnote>
  <w:endnote w:type="continuationSeparator" w:id="0">
    <w:p w14:paraId="738B01B9" w14:textId="77777777" w:rsidR="006F1AFD" w:rsidRDefault="006F1AFD" w:rsidP="00ED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5996" w14:textId="77777777" w:rsidR="002934F2" w:rsidRDefault="00293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E722" w14:textId="10ED6A7C" w:rsidR="002934F2" w:rsidRDefault="00000831" w:rsidP="00000831">
    <w:pPr>
      <w:pStyle w:val="Footer"/>
    </w:pPr>
    <w:bookmarkStart w:id="0" w:name="TITUS1FooterPrimary"/>
    <w:r w:rsidRPr="00000831">
      <w:rPr>
        <w:color w:val="000000"/>
        <w:sz w:val="17"/>
      </w:rPr>
      <w:t xml:space="preserve">Classification: </w:t>
    </w:r>
    <w:r w:rsidRPr="00000831">
      <w:rPr>
        <w:b/>
        <w:color w:val="4285F4"/>
        <w:sz w:val="17"/>
      </w:rPr>
      <w:t>Internal</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25E3" w14:textId="77777777" w:rsidR="002934F2" w:rsidRDefault="00293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CA2E3" w14:textId="77777777" w:rsidR="006F1AFD" w:rsidRDefault="006F1AFD" w:rsidP="00ED2DA5">
      <w:pPr>
        <w:spacing w:after="0" w:line="240" w:lineRule="auto"/>
      </w:pPr>
      <w:r>
        <w:separator/>
      </w:r>
    </w:p>
  </w:footnote>
  <w:footnote w:type="continuationSeparator" w:id="0">
    <w:p w14:paraId="4DC0281F" w14:textId="77777777" w:rsidR="006F1AFD" w:rsidRDefault="006F1AFD" w:rsidP="00ED2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3CF3" w14:textId="77777777" w:rsidR="002934F2" w:rsidRDefault="00293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8144" w14:textId="77777777" w:rsidR="00ED2DA5" w:rsidRDefault="00447772" w:rsidP="00ED2DA5">
    <w:pPr>
      <w:pStyle w:val="Header"/>
      <w:jc w:val="center"/>
    </w:pPr>
    <w:r w:rsidRPr="00C44668">
      <w:rPr>
        <w:noProof/>
        <w:sz w:val="20"/>
        <w:lang w:val="en-US"/>
      </w:rPr>
      <w:drawing>
        <wp:inline distT="0" distB="0" distL="0" distR="0" wp14:anchorId="1D71664B" wp14:editId="226E1BCC">
          <wp:extent cx="1323486" cy="259404"/>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386770" cy="271808"/>
                  </a:xfrm>
                  <a:prstGeom prst="rect">
                    <a:avLst/>
                  </a:prstGeom>
                </pic:spPr>
              </pic:pic>
            </a:graphicData>
          </a:graphic>
        </wp:inline>
      </w:drawing>
    </w:r>
  </w:p>
  <w:p w14:paraId="30BEEC57" w14:textId="77777777" w:rsidR="00ED2DA5" w:rsidRDefault="00ED2DA5" w:rsidP="00ED2DA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C58B" w14:textId="77777777" w:rsidR="002934F2" w:rsidRDefault="00293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31F"/>
    <w:multiLevelType w:val="hybridMultilevel"/>
    <w:tmpl w:val="86D0541A"/>
    <w:lvl w:ilvl="0" w:tplc="FAD0B748">
      <w:start w:val="1"/>
      <w:numFmt w:val="lowerLetter"/>
      <w:lvlText w:val="%1)"/>
      <w:lvlJc w:val="left"/>
      <w:pPr>
        <w:ind w:left="720" w:hanging="360"/>
      </w:pPr>
      <w:rPr>
        <w:rFonts w:asciiTheme="minorHAnsi" w:eastAsia="Times New Roman" w:hAnsiTheme="minorHAnsi" w:cs="Tahoma"/>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0812BE"/>
    <w:multiLevelType w:val="hybridMultilevel"/>
    <w:tmpl w:val="C616DC10"/>
    <w:lvl w:ilvl="0" w:tplc="FFB66ED2">
      <w:start w:val="1"/>
      <w:numFmt w:val="decimal"/>
      <w:pStyle w:val="Heading4Tahoma"/>
      <w:lvlText w:val="%1."/>
      <w:lvlJc w:val="left"/>
      <w:pPr>
        <w:ind w:left="459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71076B0"/>
    <w:multiLevelType w:val="hybridMultilevel"/>
    <w:tmpl w:val="E8ACC0DA"/>
    <w:lvl w:ilvl="0" w:tplc="E7707264">
      <w:start w:val="1"/>
      <w:numFmt w:val="lowerRoman"/>
      <w:lvlText w:val="%1)"/>
      <w:lvlJc w:val="left"/>
      <w:pPr>
        <w:ind w:left="1080" w:hanging="720"/>
      </w:pPr>
      <w:rPr>
        <w:rFonts w:asciiTheme="minorHAnsi" w:hAnsiTheme="minorHAnsi" w:cs="Tahoma" w:hint="default"/>
        <w:b/>
        <w:color w:val="000000"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479252">
    <w:abstractNumId w:val="0"/>
  </w:num>
  <w:num w:numId="2" w16cid:durableId="1357737116">
    <w:abstractNumId w:val="1"/>
  </w:num>
  <w:num w:numId="3" w16cid:durableId="354424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yNjAxtzCytDCxNLFU0lEKTi0uzszPAykwrgUAKSKMvCwAAAA="/>
  </w:docVars>
  <w:rsids>
    <w:rsidRoot w:val="00ED2DA5"/>
    <w:rsid w:val="00000831"/>
    <w:rsid w:val="000171B2"/>
    <w:rsid w:val="00032B29"/>
    <w:rsid w:val="00035909"/>
    <w:rsid w:val="00037C59"/>
    <w:rsid w:val="00041C19"/>
    <w:rsid w:val="000422B7"/>
    <w:rsid w:val="00075E99"/>
    <w:rsid w:val="00086F6C"/>
    <w:rsid w:val="00092B6F"/>
    <w:rsid w:val="000A313B"/>
    <w:rsid w:val="000B488A"/>
    <w:rsid w:val="000C3A25"/>
    <w:rsid w:val="000C5A9A"/>
    <w:rsid w:val="000D575E"/>
    <w:rsid w:val="000F17DC"/>
    <w:rsid w:val="00104CB5"/>
    <w:rsid w:val="00122DE2"/>
    <w:rsid w:val="00134210"/>
    <w:rsid w:val="00134AA0"/>
    <w:rsid w:val="00136B69"/>
    <w:rsid w:val="00145028"/>
    <w:rsid w:val="001533AF"/>
    <w:rsid w:val="001657AC"/>
    <w:rsid w:val="001702A1"/>
    <w:rsid w:val="001877DC"/>
    <w:rsid w:val="001A5A9D"/>
    <w:rsid w:val="001A6A02"/>
    <w:rsid w:val="001A71A6"/>
    <w:rsid w:val="001C148B"/>
    <w:rsid w:val="001D1F07"/>
    <w:rsid w:val="001D4441"/>
    <w:rsid w:val="00220C17"/>
    <w:rsid w:val="00221800"/>
    <w:rsid w:val="00222BF3"/>
    <w:rsid w:val="0024034E"/>
    <w:rsid w:val="00253597"/>
    <w:rsid w:val="00261570"/>
    <w:rsid w:val="002661CD"/>
    <w:rsid w:val="00274589"/>
    <w:rsid w:val="002934F2"/>
    <w:rsid w:val="002A04EC"/>
    <w:rsid w:val="002B06B6"/>
    <w:rsid w:val="002D45BB"/>
    <w:rsid w:val="003135BB"/>
    <w:rsid w:val="00325C3B"/>
    <w:rsid w:val="003345E9"/>
    <w:rsid w:val="00336C8C"/>
    <w:rsid w:val="003403F4"/>
    <w:rsid w:val="0038400A"/>
    <w:rsid w:val="003901BD"/>
    <w:rsid w:val="003931EC"/>
    <w:rsid w:val="00395A48"/>
    <w:rsid w:val="00395B0D"/>
    <w:rsid w:val="00395B48"/>
    <w:rsid w:val="003B4910"/>
    <w:rsid w:val="003C11B1"/>
    <w:rsid w:val="003C138F"/>
    <w:rsid w:val="003E1E25"/>
    <w:rsid w:val="003F4F84"/>
    <w:rsid w:val="00402056"/>
    <w:rsid w:val="00411FF5"/>
    <w:rsid w:val="00447772"/>
    <w:rsid w:val="00451326"/>
    <w:rsid w:val="00461AE9"/>
    <w:rsid w:val="004B0096"/>
    <w:rsid w:val="004B3963"/>
    <w:rsid w:val="00501A0F"/>
    <w:rsid w:val="00541063"/>
    <w:rsid w:val="005431FC"/>
    <w:rsid w:val="005623D2"/>
    <w:rsid w:val="00563FE8"/>
    <w:rsid w:val="00564723"/>
    <w:rsid w:val="00577002"/>
    <w:rsid w:val="00596275"/>
    <w:rsid w:val="005A3055"/>
    <w:rsid w:val="005D1295"/>
    <w:rsid w:val="005E0C41"/>
    <w:rsid w:val="005F4243"/>
    <w:rsid w:val="00606121"/>
    <w:rsid w:val="006138C3"/>
    <w:rsid w:val="00620249"/>
    <w:rsid w:val="006266A1"/>
    <w:rsid w:val="00633367"/>
    <w:rsid w:val="006348AD"/>
    <w:rsid w:val="00636E82"/>
    <w:rsid w:val="00642EDE"/>
    <w:rsid w:val="006502E6"/>
    <w:rsid w:val="00662A9C"/>
    <w:rsid w:val="006632B5"/>
    <w:rsid w:val="006659C4"/>
    <w:rsid w:val="00670625"/>
    <w:rsid w:val="0068484C"/>
    <w:rsid w:val="006A5D60"/>
    <w:rsid w:val="006B6FE7"/>
    <w:rsid w:val="006B74C2"/>
    <w:rsid w:val="006C024E"/>
    <w:rsid w:val="006F1AFD"/>
    <w:rsid w:val="006F2A2A"/>
    <w:rsid w:val="006F5B0B"/>
    <w:rsid w:val="00710BF1"/>
    <w:rsid w:val="0071422D"/>
    <w:rsid w:val="00725EB4"/>
    <w:rsid w:val="00730EA7"/>
    <w:rsid w:val="007350F5"/>
    <w:rsid w:val="0074728B"/>
    <w:rsid w:val="00755BA9"/>
    <w:rsid w:val="007A1A2D"/>
    <w:rsid w:val="007A2F65"/>
    <w:rsid w:val="007B330F"/>
    <w:rsid w:val="007D57D7"/>
    <w:rsid w:val="007E4036"/>
    <w:rsid w:val="007E60D9"/>
    <w:rsid w:val="007F60D4"/>
    <w:rsid w:val="00801C86"/>
    <w:rsid w:val="00802830"/>
    <w:rsid w:val="00813229"/>
    <w:rsid w:val="008221C7"/>
    <w:rsid w:val="008303DA"/>
    <w:rsid w:val="00833770"/>
    <w:rsid w:val="00833807"/>
    <w:rsid w:val="00847E1D"/>
    <w:rsid w:val="00850FFA"/>
    <w:rsid w:val="00851CB9"/>
    <w:rsid w:val="008552F5"/>
    <w:rsid w:val="00856039"/>
    <w:rsid w:val="008876A1"/>
    <w:rsid w:val="008B4380"/>
    <w:rsid w:val="008B558C"/>
    <w:rsid w:val="008D0315"/>
    <w:rsid w:val="008E226E"/>
    <w:rsid w:val="008F33E1"/>
    <w:rsid w:val="0090746C"/>
    <w:rsid w:val="00920E3A"/>
    <w:rsid w:val="00923283"/>
    <w:rsid w:val="00941FD2"/>
    <w:rsid w:val="009601AB"/>
    <w:rsid w:val="00974858"/>
    <w:rsid w:val="00977F2E"/>
    <w:rsid w:val="00997DE8"/>
    <w:rsid w:val="009B3038"/>
    <w:rsid w:val="009B4396"/>
    <w:rsid w:val="009D53DA"/>
    <w:rsid w:val="009F7E66"/>
    <w:rsid w:val="00A41CFD"/>
    <w:rsid w:val="00A51367"/>
    <w:rsid w:val="00A70C46"/>
    <w:rsid w:val="00AB5BFC"/>
    <w:rsid w:val="00AC7FB8"/>
    <w:rsid w:val="00AD744C"/>
    <w:rsid w:val="00AE5795"/>
    <w:rsid w:val="00B132E2"/>
    <w:rsid w:val="00B151BE"/>
    <w:rsid w:val="00B436DD"/>
    <w:rsid w:val="00B52A6D"/>
    <w:rsid w:val="00B55D28"/>
    <w:rsid w:val="00B64EF7"/>
    <w:rsid w:val="00B6794D"/>
    <w:rsid w:val="00B70D83"/>
    <w:rsid w:val="00B94712"/>
    <w:rsid w:val="00BC626D"/>
    <w:rsid w:val="00BD6AF9"/>
    <w:rsid w:val="00BF1D73"/>
    <w:rsid w:val="00BF3C21"/>
    <w:rsid w:val="00BF3F83"/>
    <w:rsid w:val="00C02FB4"/>
    <w:rsid w:val="00C049EC"/>
    <w:rsid w:val="00C07FE3"/>
    <w:rsid w:val="00C1043F"/>
    <w:rsid w:val="00C24321"/>
    <w:rsid w:val="00C27A88"/>
    <w:rsid w:val="00C324D7"/>
    <w:rsid w:val="00C358FD"/>
    <w:rsid w:val="00C35F40"/>
    <w:rsid w:val="00C504FD"/>
    <w:rsid w:val="00C543CA"/>
    <w:rsid w:val="00C64282"/>
    <w:rsid w:val="00C67E2B"/>
    <w:rsid w:val="00C81DCF"/>
    <w:rsid w:val="00C87D33"/>
    <w:rsid w:val="00C97986"/>
    <w:rsid w:val="00CB2393"/>
    <w:rsid w:val="00CC32C9"/>
    <w:rsid w:val="00CD6647"/>
    <w:rsid w:val="00CD6DC5"/>
    <w:rsid w:val="00CE223C"/>
    <w:rsid w:val="00CE284A"/>
    <w:rsid w:val="00CE3062"/>
    <w:rsid w:val="00CF0995"/>
    <w:rsid w:val="00D20532"/>
    <w:rsid w:val="00D24F32"/>
    <w:rsid w:val="00D72B57"/>
    <w:rsid w:val="00D72F9A"/>
    <w:rsid w:val="00D757E4"/>
    <w:rsid w:val="00D859F4"/>
    <w:rsid w:val="00D85B57"/>
    <w:rsid w:val="00D86B3F"/>
    <w:rsid w:val="00DA3A62"/>
    <w:rsid w:val="00DB5584"/>
    <w:rsid w:val="00DB6DF3"/>
    <w:rsid w:val="00DE513A"/>
    <w:rsid w:val="00E03673"/>
    <w:rsid w:val="00E11B03"/>
    <w:rsid w:val="00E36FC9"/>
    <w:rsid w:val="00E542F4"/>
    <w:rsid w:val="00E54E1B"/>
    <w:rsid w:val="00E93885"/>
    <w:rsid w:val="00ED024A"/>
    <w:rsid w:val="00ED2DA5"/>
    <w:rsid w:val="00EE0976"/>
    <w:rsid w:val="00EE1A84"/>
    <w:rsid w:val="00F031CB"/>
    <w:rsid w:val="00F146F6"/>
    <w:rsid w:val="00F15444"/>
    <w:rsid w:val="00F35273"/>
    <w:rsid w:val="00F36FB4"/>
    <w:rsid w:val="00F43DE9"/>
    <w:rsid w:val="00F54598"/>
    <w:rsid w:val="00F83B21"/>
    <w:rsid w:val="00F90342"/>
    <w:rsid w:val="00FB485B"/>
    <w:rsid w:val="00FC3F0A"/>
    <w:rsid w:val="00FD03BB"/>
    <w:rsid w:val="00FF23EC"/>
    <w:rsid w:val="00FF5111"/>
    <w:rsid w:val="00FF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F9EB4"/>
  <w15:docId w15:val="{5C084CAD-EE3C-41B9-8069-9FC9642A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F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A5"/>
    <w:pPr>
      <w:tabs>
        <w:tab w:val="center" w:pos="4680"/>
        <w:tab w:val="right" w:pos="9360"/>
      </w:tabs>
      <w:spacing w:after="0" w:line="240" w:lineRule="auto"/>
    </w:pPr>
    <w:rPr>
      <w:lang w:val="en-IN"/>
    </w:rPr>
  </w:style>
  <w:style w:type="character" w:customStyle="1" w:styleId="HeaderChar">
    <w:name w:val="Header Char"/>
    <w:basedOn w:val="DefaultParagraphFont"/>
    <w:link w:val="Header"/>
    <w:uiPriority w:val="99"/>
    <w:rsid w:val="00ED2DA5"/>
  </w:style>
  <w:style w:type="paragraph" w:styleId="Footer">
    <w:name w:val="footer"/>
    <w:basedOn w:val="Normal"/>
    <w:link w:val="FooterChar"/>
    <w:uiPriority w:val="99"/>
    <w:unhideWhenUsed/>
    <w:rsid w:val="00ED2DA5"/>
    <w:pPr>
      <w:tabs>
        <w:tab w:val="center" w:pos="4680"/>
        <w:tab w:val="right" w:pos="9360"/>
      </w:tabs>
      <w:spacing w:after="0" w:line="240" w:lineRule="auto"/>
    </w:pPr>
    <w:rPr>
      <w:lang w:val="en-IN"/>
    </w:rPr>
  </w:style>
  <w:style w:type="character" w:customStyle="1" w:styleId="FooterChar">
    <w:name w:val="Footer Char"/>
    <w:basedOn w:val="DefaultParagraphFont"/>
    <w:link w:val="Footer"/>
    <w:uiPriority w:val="99"/>
    <w:rsid w:val="00ED2DA5"/>
  </w:style>
  <w:style w:type="paragraph" w:styleId="BalloonText">
    <w:name w:val="Balloon Text"/>
    <w:basedOn w:val="Normal"/>
    <w:link w:val="BalloonTextChar"/>
    <w:uiPriority w:val="99"/>
    <w:semiHidden/>
    <w:unhideWhenUsed/>
    <w:rsid w:val="00ED2DA5"/>
    <w:pPr>
      <w:spacing w:after="0" w:line="240" w:lineRule="auto"/>
    </w:pPr>
    <w:rPr>
      <w:rFonts w:ascii="Tahoma" w:hAnsi="Tahoma" w:cs="Tahoma"/>
      <w:sz w:val="16"/>
      <w:szCs w:val="16"/>
      <w:lang w:val="en-IN"/>
    </w:rPr>
  </w:style>
  <w:style w:type="character" w:customStyle="1" w:styleId="BalloonTextChar">
    <w:name w:val="Balloon Text Char"/>
    <w:basedOn w:val="DefaultParagraphFont"/>
    <w:link w:val="BalloonText"/>
    <w:uiPriority w:val="99"/>
    <w:semiHidden/>
    <w:rsid w:val="00ED2DA5"/>
    <w:rPr>
      <w:rFonts w:ascii="Tahoma" w:hAnsi="Tahoma" w:cs="Tahoma"/>
      <w:sz w:val="16"/>
      <w:szCs w:val="16"/>
    </w:rPr>
  </w:style>
  <w:style w:type="paragraph" w:styleId="ListParagraph">
    <w:name w:val="List Paragraph"/>
    <w:basedOn w:val="Normal"/>
    <w:uiPriority w:val="34"/>
    <w:qFormat/>
    <w:rsid w:val="00ED2DA5"/>
    <w:pPr>
      <w:ind w:left="720"/>
      <w:contextualSpacing/>
    </w:pPr>
    <w:rPr>
      <w:lang w:val="en-IN"/>
    </w:rPr>
  </w:style>
  <w:style w:type="paragraph" w:customStyle="1" w:styleId="Heading4Tahoma">
    <w:name w:val="Heading 4 + Tahoma"/>
    <w:aliases w:val="12 pt,Line spacing:  Multiple 1.2 li"/>
    <w:basedOn w:val="Normal"/>
    <w:rsid w:val="00813229"/>
    <w:pPr>
      <w:numPr>
        <w:numId w:val="2"/>
      </w:numPr>
      <w:autoSpaceDE w:val="0"/>
      <w:autoSpaceDN w:val="0"/>
      <w:adjustRightInd w:val="0"/>
      <w:spacing w:before="245" w:after="0" w:line="259" w:lineRule="exact"/>
      <w:jc w:val="both"/>
    </w:pPr>
    <w:rPr>
      <w:rFonts w:ascii="Tahoma" w:eastAsia="Times New Roman" w:hAnsi="Tahoma" w:cs="Tahoma"/>
      <w:color w:val="000000"/>
      <w:sz w:val="24"/>
      <w:szCs w:val="24"/>
    </w:rPr>
  </w:style>
  <w:style w:type="table" w:styleId="TableGrid">
    <w:name w:val="Table Grid"/>
    <w:basedOn w:val="TableNormal"/>
    <w:uiPriority w:val="59"/>
    <w:rsid w:val="009D5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7538">
      <w:bodyDiv w:val="1"/>
      <w:marLeft w:val="0"/>
      <w:marRight w:val="0"/>
      <w:marTop w:val="0"/>
      <w:marBottom w:val="0"/>
      <w:divBdr>
        <w:top w:val="none" w:sz="0" w:space="0" w:color="auto"/>
        <w:left w:val="none" w:sz="0" w:space="0" w:color="auto"/>
        <w:bottom w:val="none" w:sz="0" w:space="0" w:color="auto"/>
        <w:right w:val="none" w:sz="0" w:space="0" w:color="auto"/>
      </w:divBdr>
    </w:div>
    <w:div w:id="83963461">
      <w:bodyDiv w:val="1"/>
      <w:marLeft w:val="0"/>
      <w:marRight w:val="0"/>
      <w:marTop w:val="0"/>
      <w:marBottom w:val="0"/>
      <w:divBdr>
        <w:top w:val="none" w:sz="0" w:space="0" w:color="auto"/>
        <w:left w:val="none" w:sz="0" w:space="0" w:color="auto"/>
        <w:bottom w:val="none" w:sz="0" w:space="0" w:color="auto"/>
        <w:right w:val="none" w:sz="0" w:space="0" w:color="auto"/>
      </w:divBdr>
    </w:div>
    <w:div w:id="151798586">
      <w:bodyDiv w:val="1"/>
      <w:marLeft w:val="0"/>
      <w:marRight w:val="0"/>
      <w:marTop w:val="0"/>
      <w:marBottom w:val="0"/>
      <w:divBdr>
        <w:top w:val="none" w:sz="0" w:space="0" w:color="auto"/>
        <w:left w:val="none" w:sz="0" w:space="0" w:color="auto"/>
        <w:bottom w:val="none" w:sz="0" w:space="0" w:color="auto"/>
        <w:right w:val="none" w:sz="0" w:space="0" w:color="auto"/>
      </w:divBdr>
    </w:div>
    <w:div w:id="234512490">
      <w:bodyDiv w:val="1"/>
      <w:marLeft w:val="0"/>
      <w:marRight w:val="0"/>
      <w:marTop w:val="0"/>
      <w:marBottom w:val="0"/>
      <w:divBdr>
        <w:top w:val="none" w:sz="0" w:space="0" w:color="auto"/>
        <w:left w:val="none" w:sz="0" w:space="0" w:color="auto"/>
        <w:bottom w:val="none" w:sz="0" w:space="0" w:color="auto"/>
        <w:right w:val="none" w:sz="0" w:space="0" w:color="auto"/>
      </w:divBdr>
    </w:div>
    <w:div w:id="313685188">
      <w:bodyDiv w:val="1"/>
      <w:marLeft w:val="0"/>
      <w:marRight w:val="0"/>
      <w:marTop w:val="0"/>
      <w:marBottom w:val="0"/>
      <w:divBdr>
        <w:top w:val="none" w:sz="0" w:space="0" w:color="auto"/>
        <w:left w:val="none" w:sz="0" w:space="0" w:color="auto"/>
        <w:bottom w:val="none" w:sz="0" w:space="0" w:color="auto"/>
        <w:right w:val="none" w:sz="0" w:space="0" w:color="auto"/>
      </w:divBdr>
    </w:div>
    <w:div w:id="327364013">
      <w:bodyDiv w:val="1"/>
      <w:marLeft w:val="0"/>
      <w:marRight w:val="0"/>
      <w:marTop w:val="0"/>
      <w:marBottom w:val="0"/>
      <w:divBdr>
        <w:top w:val="none" w:sz="0" w:space="0" w:color="auto"/>
        <w:left w:val="none" w:sz="0" w:space="0" w:color="auto"/>
        <w:bottom w:val="none" w:sz="0" w:space="0" w:color="auto"/>
        <w:right w:val="none" w:sz="0" w:space="0" w:color="auto"/>
      </w:divBdr>
    </w:div>
    <w:div w:id="345257728">
      <w:bodyDiv w:val="1"/>
      <w:marLeft w:val="0"/>
      <w:marRight w:val="0"/>
      <w:marTop w:val="0"/>
      <w:marBottom w:val="0"/>
      <w:divBdr>
        <w:top w:val="none" w:sz="0" w:space="0" w:color="auto"/>
        <w:left w:val="none" w:sz="0" w:space="0" w:color="auto"/>
        <w:bottom w:val="none" w:sz="0" w:space="0" w:color="auto"/>
        <w:right w:val="none" w:sz="0" w:space="0" w:color="auto"/>
      </w:divBdr>
    </w:div>
    <w:div w:id="349798156">
      <w:bodyDiv w:val="1"/>
      <w:marLeft w:val="0"/>
      <w:marRight w:val="0"/>
      <w:marTop w:val="0"/>
      <w:marBottom w:val="0"/>
      <w:divBdr>
        <w:top w:val="none" w:sz="0" w:space="0" w:color="auto"/>
        <w:left w:val="none" w:sz="0" w:space="0" w:color="auto"/>
        <w:bottom w:val="none" w:sz="0" w:space="0" w:color="auto"/>
        <w:right w:val="none" w:sz="0" w:space="0" w:color="auto"/>
      </w:divBdr>
    </w:div>
    <w:div w:id="374431589">
      <w:bodyDiv w:val="1"/>
      <w:marLeft w:val="0"/>
      <w:marRight w:val="0"/>
      <w:marTop w:val="0"/>
      <w:marBottom w:val="0"/>
      <w:divBdr>
        <w:top w:val="none" w:sz="0" w:space="0" w:color="auto"/>
        <w:left w:val="none" w:sz="0" w:space="0" w:color="auto"/>
        <w:bottom w:val="none" w:sz="0" w:space="0" w:color="auto"/>
        <w:right w:val="none" w:sz="0" w:space="0" w:color="auto"/>
      </w:divBdr>
    </w:div>
    <w:div w:id="398284910">
      <w:bodyDiv w:val="1"/>
      <w:marLeft w:val="0"/>
      <w:marRight w:val="0"/>
      <w:marTop w:val="0"/>
      <w:marBottom w:val="0"/>
      <w:divBdr>
        <w:top w:val="none" w:sz="0" w:space="0" w:color="auto"/>
        <w:left w:val="none" w:sz="0" w:space="0" w:color="auto"/>
        <w:bottom w:val="none" w:sz="0" w:space="0" w:color="auto"/>
        <w:right w:val="none" w:sz="0" w:space="0" w:color="auto"/>
      </w:divBdr>
    </w:div>
    <w:div w:id="404644416">
      <w:bodyDiv w:val="1"/>
      <w:marLeft w:val="0"/>
      <w:marRight w:val="0"/>
      <w:marTop w:val="0"/>
      <w:marBottom w:val="0"/>
      <w:divBdr>
        <w:top w:val="none" w:sz="0" w:space="0" w:color="auto"/>
        <w:left w:val="none" w:sz="0" w:space="0" w:color="auto"/>
        <w:bottom w:val="none" w:sz="0" w:space="0" w:color="auto"/>
        <w:right w:val="none" w:sz="0" w:space="0" w:color="auto"/>
      </w:divBdr>
    </w:div>
    <w:div w:id="441148317">
      <w:bodyDiv w:val="1"/>
      <w:marLeft w:val="0"/>
      <w:marRight w:val="0"/>
      <w:marTop w:val="0"/>
      <w:marBottom w:val="0"/>
      <w:divBdr>
        <w:top w:val="none" w:sz="0" w:space="0" w:color="auto"/>
        <w:left w:val="none" w:sz="0" w:space="0" w:color="auto"/>
        <w:bottom w:val="none" w:sz="0" w:space="0" w:color="auto"/>
        <w:right w:val="none" w:sz="0" w:space="0" w:color="auto"/>
      </w:divBdr>
    </w:div>
    <w:div w:id="445084855">
      <w:bodyDiv w:val="1"/>
      <w:marLeft w:val="0"/>
      <w:marRight w:val="0"/>
      <w:marTop w:val="0"/>
      <w:marBottom w:val="0"/>
      <w:divBdr>
        <w:top w:val="none" w:sz="0" w:space="0" w:color="auto"/>
        <w:left w:val="none" w:sz="0" w:space="0" w:color="auto"/>
        <w:bottom w:val="none" w:sz="0" w:space="0" w:color="auto"/>
        <w:right w:val="none" w:sz="0" w:space="0" w:color="auto"/>
      </w:divBdr>
    </w:div>
    <w:div w:id="509947338">
      <w:bodyDiv w:val="1"/>
      <w:marLeft w:val="0"/>
      <w:marRight w:val="0"/>
      <w:marTop w:val="0"/>
      <w:marBottom w:val="0"/>
      <w:divBdr>
        <w:top w:val="none" w:sz="0" w:space="0" w:color="auto"/>
        <w:left w:val="none" w:sz="0" w:space="0" w:color="auto"/>
        <w:bottom w:val="none" w:sz="0" w:space="0" w:color="auto"/>
        <w:right w:val="none" w:sz="0" w:space="0" w:color="auto"/>
      </w:divBdr>
    </w:div>
    <w:div w:id="569852031">
      <w:bodyDiv w:val="1"/>
      <w:marLeft w:val="0"/>
      <w:marRight w:val="0"/>
      <w:marTop w:val="0"/>
      <w:marBottom w:val="0"/>
      <w:divBdr>
        <w:top w:val="none" w:sz="0" w:space="0" w:color="auto"/>
        <w:left w:val="none" w:sz="0" w:space="0" w:color="auto"/>
        <w:bottom w:val="none" w:sz="0" w:space="0" w:color="auto"/>
        <w:right w:val="none" w:sz="0" w:space="0" w:color="auto"/>
      </w:divBdr>
    </w:div>
    <w:div w:id="623728494">
      <w:bodyDiv w:val="1"/>
      <w:marLeft w:val="0"/>
      <w:marRight w:val="0"/>
      <w:marTop w:val="0"/>
      <w:marBottom w:val="0"/>
      <w:divBdr>
        <w:top w:val="none" w:sz="0" w:space="0" w:color="auto"/>
        <w:left w:val="none" w:sz="0" w:space="0" w:color="auto"/>
        <w:bottom w:val="none" w:sz="0" w:space="0" w:color="auto"/>
        <w:right w:val="none" w:sz="0" w:space="0" w:color="auto"/>
      </w:divBdr>
    </w:div>
    <w:div w:id="660039487">
      <w:bodyDiv w:val="1"/>
      <w:marLeft w:val="0"/>
      <w:marRight w:val="0"/>
      <w:marTop w:val="0"/>
      <w:marBottom w:val="0"/>
      <w:divBdr>
        <w:top w:val="none" w:sz="0" w:space="0" w:color="auto"/>
        <w:left w:val="none" w:sz="0" w:space="0" w:color="auto"/>
        <w:bottom w:val="none" w:sz="0" w:space="0" w:color="auto"/>
        <w:right w:val="none" w:sz="0" w:space="0" w:color="auto"/>
      </w:divBdr>
    </w:div>
    <w:div w:id="673847115">
      <w:bodyDiv w:val="1"/>
      <w:marLeft w:val="0"/>
      <w:marRight w:val="0"/>
      <w:marTop w:val="0"/>
      <w:marBottom w:val="0"/>
      <w:divBdr>
        <w:top w:val="none" w:sz="0" w:space="0" w:color="auto"/>
        <w:left w:val="none" w:sz="0" w:space="0" w:color="auto"/>
        <w:bottom w:val="none" w:sz="0" w:space="0" w:color="auto"/>
        <w:right w:val="none" w:sz="0" w:space="0" w:color="auto"/>
      </w:divBdr>
    </w:div>
    <w:div w:id="692651243">
      <w:bodyDiv w:val="1"/>
      <w:marLeft w:val="0"/>
      <w:marRight w:val="0"/>
      <w:marTop w:val="0"/>
      <w:marBottom w:val="0"/>
      <w:divBdr>
        <w:top w:val="none" w:sz="0" w:space="0" w:color="auto"/>
        <w:left w:val="none" w:sz="0" w:space="0" w:color="auto"/>
        <w:bottom w:val="none" w:sz="0" w:space="0" w:color="auto"/>
        <w:right w:val="none" w:sz="0" w:space="0" w:color="auto"/>
      </w:divBdr>
    </w:div>
    <w:div w:id="759178972">
      <w:bodyDiv w:val="1"/>
      <w:marLeft w:val="0"/>
      <w:marRight w:val="0"/>
      <w:marTop w:val="0"/>
      <w:marBottom w:val="0"/>
      <w:divBdr>
        <w:top w:val="none" w:sz="0" w:space="0" w:color="auto"/>
        <w:left w:val="none" w:sz="0" w:space="0" w:color="auto"/>
        <w:bottom w:val="none" w:sz="0" w:space="0" w:color="auto"/>
        <w:right w:val="none" w:sz="0" w:space="0" w:color="auto"/>
      </w:divBdr>
    </w:div>
    <w:div w:id="760175275">
      <w:bodyDiv w:val="1"/>
      <w:marLeft w:val="0"/>
      <w:marRight w:val="0"/>
      <w:marTop w:val="0"/>
      <w:marBottom w:val="0"/>
      <w:divBdr>
        <w:top w:val="none" w:sz="0" w:space="0" w:color="auto"/>
        <w:left w:val="none" w:sz="0" w:space="0" w:color="auto"/>
        <w:bottom w:val="none" w:sz="0" w:space="0" w:color="auto"/>
        <w:right w:val="none" w:sz="0" w:space="0" w:color="auto"/>
      </w:divBdr>
    </w:div>
    <w:div w:id="797258864">
      <w:bodyDiv w:val="1"/>
      <w:marLeft w:val="0"/>
      <w:marRight w:val="0"/>
      <w:marTop w:val="0"/>
      <w:marBottom w:val="0"/>
      <w:divBdr>
        <w:top w:val="none" w:sz="0" w:space="0" w:color="auto"/>
        <w:left w:val="none" w:sz="0" w:space="0" w:color="auto"/>
        <w:bottom w:val="none" w:sz="0" w:space="0" w:color="auto"/>
        <w:right w:val="none" w:sz="0" w:space="0" w:color="auto"/>
      </w:divBdr>
    </w:div>
    <w:div w:id="818309598">
      <w:bodyDiv w:val="1"/>
      <w:marLeft w:val="0"/>
      <w:marRight w:val="0"/>
      <w:marTop w:val="0"/>
      <w:marBottom w:val="0"/>
      <w:divBdr>
        <w:top w:val="none" w:sz="0" w:space="0" w:color="auto"/>
        <w:left w:val="none" w:sz="0" w:space="0" w:color="auto"/>
        <w:bottom w:val="none" w:sz="0" w:space="0" w:color="auto"/>
        <w:right w:val="none" w:sz="0" w:space="0" w:color="auto"/>
      </w:divBdr>
    </w:div>
    <w:div w:id="885801849">
      <w:bodyDiv w:val="1"/>
      <w:marLeft w:val="0"/>
      <w:marRight w:val="0"/>
      <w:marTop w:val="0"/>
      <w:marBottom w:val="0"/>
      <w:divBdr>
        <w:top w:val="none" w:sz="0" w:space="0" w:color="auto"/>
        <w:left w:val="none" w:sz="0" w:space="0" w:color="auto"/>
        <w:bottom w:val="none" w:sz="0" w:space="0" w:color="auto"/>
        <w:right w:val="none" w:sz="0" w:space="0" w:color="auto"/>
      </w:divBdr>
    </w:div>
    <w:div w:id="909388985">
      <w:bodyDiv w:val="1"/>
      <w:marLeft w:val="0"/>
      <w:marRight w:val="0"/>
      <w:marTop w:val="0"/>
      <w:marBottom w:val="0"/>
      <w:divBdr>
        <w:top w:val="none" w:sz="0" w:space="0" w:color="auto"/>
        <w:left w:val="none" w:sz="0" w:space="0" w:color="auto"/>
        <w:bottom w:val="none" w:sz="0" w:space="0" w:color="auto"/>
        <w:right w:val="none" w:sz="0" w:space="0" w:color="auto"/>
      </w:divBdr>
    </w:div>
    <w:div w:id="923152718">
      <w:bodyDiv w:val="1"/>
      <w:marLeft w:val="0"/>
      <w:marRight w:val="0"/>
      <w:marTop w:val="0"/>
      <w:marBottom w:val="0"/>
      <w:divBdr>
        <w:top w:val="none" w:sz="0" w:space="0" w:color="auto"/>
        <w:left w:val="none" w:sz="0" w:space="0" w:color="auto"/>
        <w:bottom w:val="none" w:sz="0" w:space="0" w:color="auto"/>
        <w:right w:val="none" w:sz="0" w:space="0" w:color="auto"/>
      </w:divBdr>
    </w:div>
    <w:div w:id="927227078">
      <w:bodyDiv w:val="1"/>
      <w:marLeft w:val="0"/>
      <w:marRight w:val="0"/>
      <w:marTop w:val="0"/>
      <w:marBottom w:val="0"/>
      <w:divBdr>
        <w:top w:val="none" w:sz="0" w:space="0" w:color="auto"/>
        <w:left w:val="none" w:sz="0" w:space="0" w:color="auto"/>
        <w:bottom w:val="none" w:sz="0" w:space="0" w:color="auto"/>
        <w:right w:val="none" w:sz="0" w:space="0" w:color="auto"/>
      </w:divBdr>
    </w:div>
    <w:div w:id="944313301">
      <w:bodyDiv w:val="1"/>
      <w:marLeft w:val="0"/>
      <w:marRight w:val="0"/>
      <w:marTop w:val="0"/>
      <w:marBottom w:val="0"/>
      <w:divBdr>
        <w:top w:val="none" w:sz="0" w:space="0" w:color="auto"/>
        <w:left w:val="none" w:sz="0" w:space="0" w:color="auto"/>
        <w:bottom w:val="none" w:sz="0" w:space="0" w:color="auto"/>
        <w:right w:val="none" w:sz="0" w:space="0" w:color="auto"/>
      </w:divBdr>
    </w:div>
    <w:div w:id="948781234">
      <w:bodyDiv w:val="1"/>
      <w:marLeft w:val="0"/>
      <w:marRight w:val="0"/>
      <w:marTop w:val="0"/>
      <w:marBottom w:val="0"/>
      <w:divBdr>
        <w:top w:val="none" w:sz="0" w:space="0" w:color="auto"/>
        <w:left w:val="none" w:sz="0" w:space="0" w:color="auto"/>
        <w:bottom w:val="none" w:sz="0" w:space="0" w:color="auto"/>
        <w:right w:val="none" w:sz="0" w:space="0" w:color="auto"/>
      </w:divBdr>
    </w:div>
    <w:div w:id="949555965">
      <w:bodyDiv w:val="1"/>
      <w:marLeft w:val="0"/>
      <w:marRight w:val="0"/>
      <w:marTop w:val="0"/>
      <w:marBottom w:val="0"/>
      <w:divBdr>
        <w:top w:val="none" w:sz="0" w:space="0" w:color="auto"/>
        <w:left w:val="none" w:sz="0" w:space="0" w:color="auto"/>
        <w:bottom w:val="none" w:sz="0" w:space="0" w:color="auto"/>
        <w:right w:val="none" w:sz="0" w:space="0" w:color="auto"/>
      </w:divBdr>
    </w:div>
    <w:div w:id="992568944">
      <w:bodyDiv w:val="1"/>
      <w:marLeft w:val="0"/>
      <w:marRight w:val="0"/>
      <w:marTop w:val="0"/>
      <w:marBottom w:val="0"/>
      <w:divBdr>
        <w:top w:val="none" w:sz="0" w:space="0" w:color="auto"/>
        <w:left w:val="none" w:sz="0" w:space="0" w:color="auto"/>
        <w:bottom w:val="none" w:sz="0" w:space="0" w:color="auto"/>
        <w:right w:val="none" w:sz="0" w:space="0" w:color="auto"/>
      </w:divBdr>
    </w:div>
    <w:div w:id="993073367">
      <w:bodyDiv w:val="1"/>
      <w:marLeft w:val="0"/>
      <w:marRight w:val="0"/>
      <w:marTop w:val="0"/>
      <w:marBottom w:val="0"/>
      <w:divBdr>
        <w:top w:val="none" w:sz="0" w:space="0" w:color="auto"/>
        <w:left w:val="none" w:sz="0" w:space="0" w:color="auto"/>
        <w:bottom w:val="none" w:sz="0" w:space="0" w:color="auto"/>
        <w:right w:val="none" w:sz="0" w:space="0" w:color="auto"/>
      </w:divBdr>
    </w:div>
    <w:div w:id="1001129972">
      <w:bodyDiv w:val="1"/>
      <w:marLeft w:val="0"/>
      <w:marRight w:val="0"/>
      <w:marTop w:val="0"/>
      <w:marBottom w:val="0"/>
      <w:divBdr>
        <w:top w:val="none" w:sz="0" w:space="0" w:color="auto"/>
        <w:left w:val="none" w:sz="0" w:space="0" w:color="auto"/>
        <w:bottom w:val="none" w:sz="0" w:space="0" w:color="auto"/>
        <w:right w:val="none" w:sz="0" w:space="0" w:color="auto"/>
      </w:divBdr>
    </w:div>
    <w:div w:id="1031152916">
      <w:bodyDiv w:val="1"/>
      <w:marLeft w:val="0"/>
      <w:marRight w:val="0"/>
      <w:marTop w:val="0"/>
      <w:marBottom w:val="0"/>
      <w:divBdr>
        <w:top w:val="none" w:sz="0" w:space="0" w:color="auto"/>
        <w:left w:val="none" w:sz="0" w:space="0" w:color="auto"/>
        <w:bottom w:val="none" w:sz="0" w:space="0" w:color="auto"/>
        <w:right w:val="none" w:sz="0" w:space="0" w:color="auto"/>
      </w:divBdr>
    </w:div>
    <w:div w:id="1039627235">
      <w:bodyDiv w:val="1"/>
      <w:marLeft w:val="0"/>
      <w:marRight w:val="0"/>
      <w:marTop w:val="0"/>
      <w:marBottom w:val="0"/>
      <w:divBdr>
        <w:top w:val="none" w:sz="0" w:space="0" w:color="auto"/>
        <w:left w:val="none" w:sz="0" w:space="0" w:color="auto"/>
        <w:bottom w:val="none" w:sz="0" w:space="0" w:color="auto"/>
        <w:right w:val="none" w:sz="0" w:space="0" w:color="auto"/>
      </w:divBdr>
    </w:div>
    <w:div w:id="1175265522">
      <w:bodyDiv w:val="1"/>
      <w:marLeft w:val="0"/>
      <w:marRight w:val="0"/>
      <w:marTop w:val="0"/>
      <w:marBottom w:val="0"/>
      <w:divBdr>
        <w:top w:val="none" w:sz="0" w:space="0" w:color="auto"/>
        <w:left w:val="none" w:sz="0" w:space="0" w:color="auto"/>
        <w:bottom w:val="none" w:sz="0" w:space="0" w:color="auto"/>
        <w:right w:val="none" w:sz="0" w:space="0" w:color="auto"/>
      </w:divBdr>
    </w:div>
    <w:div w:id="1255434033">
      <w:bodyDiv w:val="1"/>
      <w:marLeft w:val="0"/>
      <w:marRight w:val="0"/>
      <w:marTop w:val="0"/>
      <w:marBottom w:val="0"/>
      <w:divBdr>
        <w:top w:val="none" w:sz="0" w:space="0" w:color="auto"/>
        <w:left w:val="none" w:sz="0" w:space="0" w:color="auto"/>
        <w:bottom w:val="none" w:sz="0" w:space="0" w:color="auto"/>
        <w:right w:val="none" w:sz="0" w:space="0" w:color="auto"/>
      </w:divBdr>
    </w:div>
    <w:div w:id="1257665438">
      <w:bodyDiv w:val="1"/>
      <w:marLeft w:val="0"/>
      <w:marRight w:val="0"/>
      <w:marTop w:val="0"/>
      <w:marBottom w:val="0"/>
      <w:divBdr>
        <w:top w:val="none" w:sz="0" w:space="0" w:color="auto"/>
        <w:left w:val="none" w:sz="0" w:space="0" w:color="auto"/>
        <w:bottom w:val="none" w:sz="0" w:space="0" w:color="auto"/>
        <w:right w:val="none" w:sz="0" w:space="0" w:color="auto"/>
      </w:divBdr>
    </w:div>
    <w:div w:id="1260674421">
      <w:bodyDiv w:val="1"/>
      <w:marLeft w:val="0"/>
      <w:marRight w:val="0"/>
      <w:marTop w:val="0"/>
      <w:marBottom w:val="0"/>
      <w:divBdr>
        <w:top w:val="none" w:sz="0" w:space="0" w:color="auto"/>
        <w:left w:val="none" w:sz="0" w:space="0" w:color="auto"/>
        <w:bottom w:val="none" w:sz="0" w:space="0" w:color="auto"/>
        <w:right w:val="none" w:sz="0" w:space="0" w:color="auto"/>
      </w:divBdr>
    </w:div>
    <w:div w:id="1264533131">
      <w:bodyDiv w:val="1"/>
      <w:marLeft w:val="0"/>
      <w:marRight w:val="0"/>
      <w:marTop w:val="0"/>
      <w:marBottom w:val="0"/>
      <w:divBdr>
        <w:top w:val="none" w:sz="0" w:space="0" w:color="auto"/>
        <w:left w:val="none" w:sz="0" w:space="0" w:color="auto"/>
        <w:bottom w:val="none" w:sz="0" w:space="0" w:color="auto"/>
        <w:right w:val="none" w:sz="0" w:space="0" w:color="auto"/>
      </w:divBdr>
    </w:div>
    <w:div w:id="1328094037">
      <w:bodyDiv w:val="1"/>
      <w:marLeft w:val="0"/>
      <w:marRight w:val="0"/>
      <w:marTop w:val="0"/>
      <w:marBottom w:val="0"/>
      <w:divBdr>
        <w:top w:val="none" w:sz="0" w:space="0" w:color="auto"/>
        <w:left w:val="none" w:sz="0" w:space="0" w:color="auto"/>
        <w:bottom w:val="none" w:sz="0" w:space="0" w:color="auto"/>
        <w:right w:val="none" w:sz="0" w:space="0" w:color="auto"/>
      </w:divBdr>
    </w:div>
    <w:div w:id="1342243946">
      <w:bodyDiv w:val="1"/>
      <w:marLeft w:val="0"/>
      <w:marRight w:val="0"/>
      <w:marTop w:val="0"/>
      <w:marBottom w:val="0"/>
      <w:divBdr>
        <w:top w:val="none" w:sz="0" w:space="0" w:color="auto"/>
        <w:left w:val="none" w:sz="0" w:space="0" w:color="auto"/>
        <w:bottom w:val="none" w:sz="0" w:space="0" w:color="auto"/>
        <w:right w:val="none" w:sz="0" w:space="0" w:color="auto"/>
      </w:divBdr>
    </w:div>
    <w:div w:id="1351830770">
      <w:bodyDiv w:val="1"/>
      <w:marLeft w:val="0"/>
      <w:marRight w:val="0"/>
      <w:marTop w:val="0"/>
      <w:marBottom w:val="0"/>
      <w:divBdr>
        <w:top w:val="none" w:sz="0" w:space="0" w:color="auto"/>
        <w:left w:val="none" w:sz="0" w:space="0" w:color="auto"/>
        <w:bottom w:val="none" w:sz="0" w:space="0" w:color="auto"/>
        <w:right w:val="none" w:sz="0" w:space="0" w:color="auto"/>
      </w:divBdr>
    </w:div>
    <w:div w:id="1413046465">
      <w:bodyDiv w:val="1"/>
      <w:marLeft w:val="0"/>
      <w:marRight w:val="0"/>
      <w:marTop w:val="0"/>
      <w:marBottom w:val="0"/>
      <w:divBdr>
        <w:top w:val="none" w:sz="0" w:space="0" w:color="auto"/>
        <w:left w:val="none" w:sz="0" w:space="0" w:color="auto"/>
        <w:bottom w:val="none" w:sz="0" w:space="0" w:color="auto"/>
        <w:right w:val="none" w:sz="0" w:space="0" w:color="auto"/>
      </w:divBdr>
    </w:div>
    <w:div w:id="1437098643">
      <w:bodyDiv w:val="1"/>
      <w:marLeft w:val="0"/>
      <w:marRight w:val="0"/>
      <w:marTop w:val="0"/>
      <w:marBottom w:val="0"/>
      <w:divBdr>
        <w:top w:val="none" w:sz="0" w:space="0" w:color="auto"/>
        <w:left w:val="none" w:sz="0" w:space="0" w:color="auto"/>
        <w:bottom w:val="none" w:sz="0" w:space="0" w:color="auto"/>
        <w:right w:val="none" w:sz="0" w:space="0" w:color="auto"/>
      </w:divBdr>
    </w:div>
    <w:div w:id="1452749223">
      <w:bodyDiv w:val="1"/>
      <w:marLeft w:val="0"/>
      <w:marRight w:val="0"/>
      <w:marTop w:val="0"/>
      <w:marBottom w:val="0"/>
      <w:divBdr>
        <w:top w:val="none" w:sz="0" w:space="0" w:color="auto"/>
        <w:left w:val="none" w:sz="0" w:space="0" w:color="auto"/>
        <w:bottom w:val="none" w:sz="0" w:space="0" w:color="auto"/>
        <w:right w:val="none" w:sz="0" w:space="0" w:color="auto"/>
      </w:divBdr>
    </w:div>
    <w:div w:id="1469319516">
      <w:bodyDiv w:val="1"/>
      <w:marLeft w:val="0"/>
      <w:marRight w:val="0"/>
      <w:marTop w:val="0"/>
      <w:marBottom w:val="0"/>
      <w:divBdr>
        <w:top w:val="none" w:sz="0" w:space="0" w:color="auto"/>
        <w:left w:val="none" w:sz="0" w:space="0" w:color="auto"/>
        <w:bottom w:val="none" w:sz="0" w:space="0" w:color="auto"/>
        <w:right w:val="none" w:sz="0" w:space="0" w:color="auto"/>
      </w:divBdr>
    </w:div>
    <w:div w:id="1497068696">
      <w:bodyDiv w:val="1"/>
      <w:marLeft w:val="0"/>
      <w:marRight w:val="0"/>
      <w:marTop w:val="0"/>
      <w:marBottom w:val="0"/>
      <w:divBdr>
        <w:top w:val="none" w:sz="0" w:space="0" w:color="auto"/>
        <w:left w:val="none" w:sz="0" w:space="0" w:color="auto"/>
        <w:bottom w:val="none" w:sz="0" w:space="0" w:color="auto"/>
        <w:right w:val="none" w:sz="0" w:space="0" w:color="auto"/>
      </w:divBdr>
    </w:div>
    <w:div w:id="1669600063">
      <w:bodyDiv w:val="1"/>
      <w:marLeft w:val="0"/>
      <w:marRight w:val="0"/>
      <w:marTop w:val="0"/>
      <w:marBottom w:val="0"/>
      <w:divBdr>
        <w:top w:val="none" w:sz="0" w:space="0" w:color="auto"/>
        <w:left w:val="none" w:sz="0" w:space="0" w:color="auto"/>
        <w:bottom w:val="none" w:sz="0" w:space="0" w:color="auto"/>
        <w:right w:val="none" w:sz="0" w:space="0" w:color="auto"/>
      </w:divBdr>
    </w:div>
    <w:div w:id="1708872714">
      <w:bodyDiv w:val="1"/>
      <w:marLeft w:val="0"/>
      <w:marRight w:val="0"/>
      <w:marTop w:val="0"/>
      <w:marBottom w:val="0"/>
      <w:divBdr>
        <w:top w:val="none" w:sz="0" w:space="0" w:color="auto"/>
        <w:left w:val="none" w:sz="0" w:space="0" w:color="auto"/>
        <w:bottom w:val="none" w:sz="0" w:space="0" w:color="auto"/>
        <w:right w:val="none" w:sz="0" w:space="0" w:color="auto"/>
      </w:divBdr>
    </w:div>
    <w:div w:id="1779912063">
      <w:bodyDiv w:val="1"/>
      <w:marLeft w:val="0"/>
      <w:marRight w:val="0"/>
      <w:marTop w:val="0"/>
      <w:marBottom w:val="0"/>
      <w:divBdr>
        <w:top w:val="none" w:sz="0" w:space="0" w:color="auto"/>
        <w:left w:val="none" w:sz="0" w:space="0" w:color="auto"/>
        <w:bottom w:val="none" w:sz="0" w:space="0" w:color="auto"/>
        <w:right w:val="none" w:sz="0" w:space="0" w:color="auto"/>
      </w:divBdr>
    </w:div>
    <w:div w:id="1803844232">
      <w:bodyDiv w:val="1"/>
      <w:marLeft w:val="0"/>
      <w:marRight w:val="0"/>
      <w:marTop w:val="0"/>
      <w:marBottom w:val="0"/>
      <w:divBdr>
        <w:top w:val="none" w:sz="0" w:space="0" w:color="auto"/>
        <w:left w:val="none" w:sz="0" w:space="0" w:color="auto"/>
        <w:bottom w:val="none" w:sz="0" w:space="0" w:color="auto"/>
        <w:right w:val="none" w:sz="0" w:space="0" w:color="auto"/>
      </w:divBdr>
    </w:div>
    <w:div w:id="1885369702">
      <w:bodyDiv w:val="1"/>
      <w:marLeft w:val="0"/>
      <w:marRight w:val="0"/>
      <w:marTop w:val="0"/>
      <w:marBottom w:val="0"/>
      <w:divBdr>
        <w:top w:val="none" w:sz="0" w:space="0" w:color="auto"/>
        <w:left w:val="none" w:sz="0" w:space="0" w:color="auto"/>
        <w:bottom w:val="none" w:sz="0" w:space="0" w:color="auto"/>
        <w:right w:val="none" w:sz="0" w:space="0" w:color="auto"/>
      </w:divBdr>
    </w:div>
    <w:div w:id="1895461389">
      <w:bodyDiv w:val="1"/>
      <w:marLeft w:val="0"/>
      <w:marRight w:val="0"/>
      <w:marTop w:val="0"/>
      <w:marBottom w:val="0"/>
      <w:divBdr>
        <w:top w:val="none" w:sz="0" w:space="0" w:color="auto"/>
        <w:left w:val="none" w:sz="0" w:space="0" w:color="auto"/>
        <w:bottom w:val="none" w:sz="0" w:space="0" w:color="auto"/>
        <w:right w:val="none" w:sz="0" w:space="0" w:color="auto"/>
      </w:divBdr>
    </w:div>
    <w:div w:id="1901288974">
      <w:bodyDiv w:val="1"/>
      <w:marLeft w:val="0"/>
      <w:marRight w:val="0"/>
      <w:marTop w:val="0"/>
      <w:marBottom w:val="0"/>
      <w:divBdr>
        <w:top w:val="none" w:sz="0" w:space="0" w:color="auto"/>
        <w:left w:val="none" w:sz="0" w:space="0" w:color="auto"/>
        <w:bottom w:val="none" w:sz="0" w:space="0" w:color="auto"/>
        <w:right w:val="none" w:sz="0" w:space="0" w:color="auto"/>
      </w:divBdr>
    </w:div>
    <w:div w:id="1937322712">
      <w:bodyDiv w:val="1"/>
      <w:marLeft w:val="0"/>
      <w:marRight w:val="0"/>
      <w:marTop w:val="0"/>
      <w:marBottom w:val="0"/>
      <w:divBdr>
        <w:top w:val="none" w:sz="0" w:space="0" w:color="auto"/>
        <w:left w:val="none" w:sz="0" w:space="0" w:color="auto"/>
        <w:bottom w:val="none" w:sz="0" w:space="0" w:color="auto"/>
        <w:right w:val="none" w:sz="0" w:space="0" w:color="auto"/>
      </w:divBdr>
    </w:div>
    <w:div w:id="1938319588">
      <w:bodyDiv w:val="1"/>
      <w:marLeft w:val="0"/>
      <w:marRight w:val="0"/>
      <w:marTop w:val="0"/>
      <w:marBottom w:val="0"/>
      <w:divBdr>
        <w:top w:val="none" w:sz="0" w:space="0" w:color="auto"/>
        <w:left w:val="none" w:sz="0" w:space="0" w:color="auto"/>
        <w:bottom w:val="none" w:sz="0" w:space="0" w:color="auto"/>
        <w:right w:val="none" w:sz="0" w:space="0" w:color="auto"/>
      </w:divBdr>
    </w:div>
    <w:div w:id="1946109124">
      <w:bodyDiv w:val="1"/>
      <w:marLeft w:val="0"/>
      <w:marRight w:val="0"/>
      <w:marTop w:val="0"/>
      <w:marBottom w:val="0"/>
      <w:divBdr>
        <w:top w:val="none" w:sz="0" w:space="0" w:color="auto"/>
        <w:left w:val="none" w:sz="0" w:space="0" w:color="auto"/>
        <w:bottom w:val="none" w:sz="0" w:space="0" w:color="auto"/>
        <w:right w:val="none" w:sz="0" w:space="0" w:color="auto"/>
      </w:divBdr>
    </w:div>
    <w:div w:id="1990206799">
      <w:bodyDiv w:val="1"/>
      <w:marLeft w:val="0"/>
      <w:marRight w:val="0"/>
      <w:marTop w:val="0"/>
      <w:marBottom w:val="0"/>
      <w:divBdr>
        <w:top w:val="none" w:sz="0" w:space="0" w:color="auto"/>
        <w:left w:val="none" w:sz="0" w:space="0" w:color="auto"/>
        <w:bottom w:val="none" w:sz="0" w:space="0" w:color="auto"/>
        <w:right w:val="none" w:sz="0" w:space="0" w:color="auto"/>
      </w:divBdr>
    </w:div>
    <w:div w:id="2005477171">
      <w:bodyDiv w:val="1"/>
      <w:marLeft w:val="0"/>
      <w:marRight w:val="0"/>
      <w:marTop w:val="0"/>
      <w:marBottom w:val="0"/>
      <w:divBdr>
        <w:top w:val="none" w:sz="0" w:space="0" w:color="auto"/>
        <w:left w:val="none" w:sz="0" w:space="0" w:color="auto"/>
        <w:bottom w:val="none" w:sz="0" w:space="0" w:color="auto"/>
        <w:right w:val="none" w:sz="0" w:space="0" w:color="auto"/>
      </w:divBdr>
    </w:div>
    <w:div w:id="2005812946">
      <w:bodyDiv w:val="1"/>
      <w:marLeft w:val="0"/>
      <w:marRight w:val="0"/>
      <w:marTop w:val="0"/>
      <w:marBottom w:val="0"/>
      <w:divBdr>
        <w:top w:val="none" w:sz="0" w:space="0" w:color="auto"/>
        <w:left w:val="none" w:sz="0" w:space="0" w:color="auto"/>
        <w:bottom w:val="none" w:sz="0" w:space="0" w:color="auto"/>
        <w:right w:val="none" w:sz="0" w:space="0" w:color="auto"/>
      </w:divBdr>
    </w:div>
    <w:div w:id="2074884914">
      <w:bodyDiv w:val="1"/>
      <w:marLeft w:val="0"/>
      <w:marRight w:val="0"/>
      <w:marTop w:val="0"/>
      <w:marBottom w:val="0"/>
      <w:divBdr>
        <w:top w:val="none" w:sz="0" w:space="0" w:color="auto"/>
        <w:left w:val="none" w:sz="0" w:space="0" w:color="auto"/>
        <w:bottom w:val="none" w:sz="0" w:space="0" w:color="auto"/>
        <w:right w:val="none" w:sz="0" w:space="0" w:color="auto"/>
      </w:divBdr>
    </w:div>
    <w:div w:id="213340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F3C8F-EFEE-472B-B222-376B80A8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1052</Words>
  <Characters>5951</Characters>
  <Application>Microsoft Office Word</Application>
  <DocSecurity>0</DocSecurity>
  <Lines>242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Shriram R (Finance/Chennai)</dc:creator>
  <cp:lastModifiedBy>Debidutta Harichandan (Finance/Chennai)</cp:lastModifiedBy>
  <cp:revision>5</cp:revision>
  <cp:lastPrinted>2020-07-06T06:57:00Z</cp:lastPrinted>
  <dcterms:created xsi:type="dcterms:W3CDTF">2023-07-28T05:50:00Z</dcterms:created>
  <dcterms:modified xsi:type="dcterms:W3CDTF">2023-07-28T07:16:00Z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9e4633be-db65-4ea2-8132-bd1f608b993f</vt:lpwstr>
  </property>
  <property fmtid="{D5CDD505-2E9C-101B-9397-08002B2CF9AE}" pid="3" name="Classification">
    <vt:lpwstr>TVSC_INT3RNAL</vt:lpwstr>
  </property>
  <property fmtid="{D5CDD505-2E9C-101B-9397-08002B2CF9AE}" pid="4" name="MSIP_Label_fd423887-3beb-4ebd-b4bd-b3171eb7653a_Enabled">
    <vt:lpwstr>true</vt:lpwstr>
  </property>
  <property fmtid="{D5CDD505-2E9C-101B-9397-08002B2CF9AE}" pid="5" name="MSIP_Label_fd423887-3beb-4ebd-b4bd-b3171eb7653a_SetDate">
    <vt:lpwstr>2023-07-24T08:43:38Z</vt:lpwstr>
  </property>
  <property fmtid="{D5CDD505-2E9C-101B-9397-08002B2CF9AE}" pid="6" name="MSIP_Label_fd423887-3beb-4ebd-b4bd-b3171eb7653a_Method">
    <vt:lpwstr>Privileged</vt:lpwstr>
  </property>
  <property fmtid="{D5CDD505-2E9C-101B-9397-08002B2CF9AE}" pid="7" name="MSIP_Label_fd423887-3beb-4ebd-b4bd-b3171eb7653a_Name">
    <vt:lpwstr>Public</vt:lpwstr>
  </property>
  <property fmtid="{D5CDD505-2E9C-101B-9397-08002B2CF9AE}" pid="8" name="MSIP_Label_fd423887-3beb-4ebd-b4bd-b3171eb7653a_SiteId">
    <vt:lpwstr>125330db-c70b-4f5e-81c6-23e86d3c1f3a</vt:lpwstr>
  </property>
  <property fmtid="{D5CDD505-2E9C-101B-9397-08002B2CF9AE}" pid="9" name="MSIP_Label_fd423887-3beb-4ebd-b4bd-b3171eb7653a_ActionId">
    <vt:lpwstr>6f92c31e-d574-4e05-aece-8c2736048253</vt:lpwstr>
  </property>
  <property fmtid="{D5CDD505-2E9C-101B-9397-08002B2CF9AE}" pid="10" name="MSIP_Label_fd423887-3beb-4ebd-b4bd-b3171eb7653a_ContentBits">
    <vt:lpwstr>0</vt:lpwstr>
  </property>
</Properties>
</file>